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2F5496"/>
          <w:sz w:val="40"/>
        </w:rPr>
        <w:t>Interne Hovedregler for Virksomhets- og Økonomiforvaltning</w:t>
      </w:r>
    </w:p>
    <w:p>
      <w:r>
        <w:rPr>
          <w:rFonts w:ascii="Calibri" w:hAnsi="Calibri"/>
          <w:i/>
          <w:color w:val="646464"/>
          <w:sz w:val="22"/>
        </w:rPr>
        <w:t>Vedtatt av Universitetsstyret</w:t>
      </w:r>
    </w:p>
    <w:p/>
    <w:p>
      <w:r>
        <w:rPr>
          <w:rFonts w:ascii="Calibri" w:hAnsi="Calibri"/>
          <w:b/>
          <w:color w:val="4472C4"/>
          <w:sz w:val="26"/>
        </w:rPr>
        <w:t>1. Delegasjon og Ansvar</w:t>
      </w:r>
    </w:p>
    <w:p>
      <w:pPr>
        <w:spacing w:after="120"/>
      </w:pPr>
      <w:r>
        <w:rPr>
          <w:rFonts w:ascii="Calibri" w:hAnsi="Calibri"/>
          <w:sz w:val="22"/>
        </w:rPr>
        <w:t>Universitetsstyret har det overordnede ansvaret for at den økonomiske forvaltningen er forsvarlig. Myndighet delegeres skriftlig til Universitetsdirektør og videre til Dekaner (BAO-ledere).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