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2F5496"/>
          <w:sz w:val="40"/>
        </w:rPr>
        <w:t>Instruks for BDM, Attestasjon og Varemottak</w:t>
      </w:r>
    </w:p>
    <w:p>
      <w:r>
        <w:rPr>
          <w:rFonts w:ascii="Calibri" w:hAnsi="Calibri"/>
          <w:i/>
          <w:color w:val="646464"/>
          <w:sz w:val="22"/>
        </w:rPr>
        <w:t>Operativ rolledeling og to-manns-prinsipp</w:t>
      </w:r>
    </w:p>
    <w:p/>
    <w:p>
      <w:r>
        <w:rPr>
          <w:rFonts w:ascii="Calibri" w:hAnsi="Calibri"/>
          <w:b/>
          <w:color w:val="4472C4"/>
          <w:sz w:val="26"/>
        </w:rPr>
        <w:t>1. Funksjonsskille</w:t>
      </w:r>
    </w:p>
    <w:p>
      <w:pPr>
        <w:spacing w:after="120"/>
      </w:pPr>
      <w:r>
        <w:rPr>
          <w:rFonts w:ascii="Calibri" w:hAnsi="Calibri"/>
          <w:sz w:val="22"/>
        </w:rPr>
        <w:t>Det er et absolutt krav at BDM og attestasjon på samme transaksjon utføres av to ulike personer. Ingen kan godkjenne sine egne utgifter.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