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Rutine for Prosjektslutt og Tapsavsetning (Konto 786)</w:t>
      </w:r>
    </w:p>
    <w:p>
      <w:r>
        <w:rPr>
          <w:rFonts w:ascii="Calibri" w:hAnsi="Calibri"/>
          <w:i/>
          <w:color w:val="646464"/>
          <w:sz w:val="22"/>
        </w:rPr>
        <w:t>Vurdering av underskuddsprosjekter etter SRS 9 / SRS 10</w:t>
      </w:r>
    </w:p>
    <w:p/>
    <w:p>
      <w:r>
        <w:rPr>
          <w:rFonts w:ascii="Calibri" w:hAnsi="Calibri"/>
          <w:b/>
          <w:color w:val="4472C4"/>
          <w:sz w:val="26"/>
        </w:rPr>
        <w:t>1. Tapsavsetning</w:t>
      </w:r>
    </w:p>
    <w:p>
      <w:pPr>
        <w:spacing w:after="120"/>
      </w:pPr>
      <w:r>
        <w:rPr>
          <w:rFonts w:ascii="Calibri" w:hAnsi="Calibri"/>
          <w:sz w:val="22"/>
        </w:rPr>
        <w:t>Forventet underskudd ved prosjektslutt skal umiddelbart kostnadsføres på konto 786 mot kortsiktig avsetning i balansen.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