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3864"/>
          <w:sz w:val="40"/>
        </w:rPr>
        <w:t>Sjekkliste for Internkontroll i Statlig Økonomistyring</w:t>
      </w:r>
    </w:p>
    <w:p>
      <w:pPr>
        <w:spacing w:before="0" w:after="320"/>
      </w:pPr>
      <w:r>
        <w:rPr>
          <w:rFonts w:ascii="Calibri" w:hAnsi="Calibri"/>
          <w:i/>
          <w:color w:val="2F5496"/>
          <w:sz w:val="22"/>
        </w:rPr>
        <w:t>Operativt kontrollskjema for enhetsledere (BAO), økonomi-ansvarlige og controllers ved statlige universiteter og høyskoler</w:t>
      </w:r>
    </w:p>
    <w:p>
      <w:pPr>
        <w:pStyle w:val="Heading1"/>
        <w:spacing w:before="240" w:after="120"/>
      </w:pPr>
      <w:r>
        <w:rPr>
          <w:b/>
          <w:color w:val="1F3864"/>
          <w:sz w:val="28"/>
        </w:rPr>
        <w:t>1. Formål, Hjemmel og Regelverksramme</w:t>
      </w:r>
    </w:p>
    <w:p>
      <w:pPr>
        <w:spacing w:after="160" w:line="276" w:lineRule="auto"/>
      </w:pPr>
      <w:r>
        <w:t>Internkontrollen i statlige virksomheter skal tilpasses virksomhetens egenart, risiko og vesentlighet, og integreres i den ordinære styringen. Internkontrollsystemet har som formål å sikre at virksomheten når sine mål, at ressursbruken er effektiv og forsvarlig, at finansiell rapportering er pålitelig, og at lover og regler overholdes.</w:t>
      </w:r>
    </w:p>
    <w:p>
      <w:pPr>
        <w:spacing w:after="280" w:line="276" w:lineRule="auto"/>
      </w:pPr>
      <w:r>
        <w:rPr>
          <w:b/>
        </w:rPr>
        <w:t xml:space="preserve">Rettslig grunnlag: </w:t>
      </w:r>
      <w:r>
        <w:t>Reglement for økonomistyring i staten § 14, Bestemmelser om økonomistyring kapittel 2.4 og 2.5, Virksomhets- og økonomiinstruks for UH-sektoren fra Kunnskapsdepartementet, samt virksomhetens interne hovedregler.</w:t>
      </w:r>
    </w:p>
    <w:p>
      <w:pPr>
        <w:pStyle w:val="Heading1"/>
        <w:spacing w:before="280" w:after="120"/>
      </w:pPr>
      <w:r>
        <w:rPr>
          <w:b/>
          <w:color w:val="1F3864"/>
          <w:sz w:val="28"/>
        </w:rPr>
        <w:t>2. Operativ Sjekkliste for Internkontroll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592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1F3864" w:val="clear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9"/>
              </w:rPr>
              <w:t>Kontrollområde</w:t>
            </w:r>
          </w:p>
        </w:tc>
        <w:tc>
          <w:tcPr>
            <w:tcW w:type="dxa" w:w="4608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1F3864" w:val="clear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9"/>
              </w:rPr>
              <w:t>Sjekkpunkt og operative kontrollhandlinger</w:t>
            </w:r>
          </w:p>
        </w:tc>
        <w:tc>
          <w:tcPr>
            <w:tcW w:type="dxa" w:w="2592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1F3864" w:val="clear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9"/>
              </w:rPr>
              <w:t>Regelverksreferanse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1F3864" w:val="clear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19"/>
              </w:rPr>
              <w:t>Status / Avvik</w:t>
            </w:r>
          </w:p>
        </w:tc>
      </w:tr>
      <w:tr>
        <w:tc>
          <w:tcPr>
            <w:tcW w:type="dxa" w:w="2592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2F5F9" w:val="clear"/>
          </w:tcPr>
          <w:p>
            <w:pPr>
              <w:spacing w:before="40" w:after="40" w:line="264" w:lineRule="auto"/>
            </w:pPr>
            <w:r>
              <w:rPr>
                <w:b/>
                <w:color w:val="1F3864"/>
                <w:sz w:val="18"/>
              </w:rPr>
              <w:t>1. Kontrollmiljø og Rolledeling</w:t>
            </w:r>
          </w:p>
        </w:tc>
        <w:tc>
          <w:tcPr>
            <w:tcW w:type="dxa" w:w="4608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2F5F9" w:val="clea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• Skriftlig dokumentasjon av organisasjonsstruktur, delegasjon og myndighet.</w:t>
              <w:br/>
              <w:t>• Etablert to-manns-prinsipp og funksjonsskille mellom BDM, Attestasjon, Varemottak og Bankautorisasjon.</w:t>
            </w:r>
          </w:p>
        </w:tc>
        <w:tc>
          <w:tcPr>
            <w:tcW w:type="dxa" w:w="2592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2F5F9" w:val="clea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Bestemmelsene kap. 2.4 / 2.5.2</w:t>
              <w:br/>
              <w:t>Interne hovedregler § 1.2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2F5F9" w:val="clea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[  ] Utført</w:t>
              <w:br/>
              <w:t>[  ] Avvik</w:t>
            </w:r>
          </w:p>
        </w:tc>
      </w:tr>
      <w:tr>
        <w:tc>
          <w:tcPr>
            <w:tcW w:type="dxa" w:w="2592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FFFFF" w:val="clear"/>
          </w:tcPr>
          <w:p>
            <w:pPr>
              <w:spacing w:before="40" w:after="40" w:line="264" w:lineRule="auto"/>
            </w:pPr>
            <w:r>
              <w:rPr>
                <w:b/>
                <w:color w:val="1F3864"/>
                <w:sz w:val="18"/>
              </w:rPr>
              <w:t>2. Risikovurdering</w:t>
            </w:r>
          </w:p>
        </w:tc>
        <w:tc>
          <w:tcPr>
            <w:tcW w:type="dxa" w:w="4608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FFFFF" w:val="clea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• Regelmessig kartlegging og analyse av risikofaktorer for kalkylsvikt, feilrapportering og overskridelser.</w:t>
              <w:br/>
              <w:t>• Iverksatte tiltak som reduserer sannsynlighet og konsekvens for kritiske risikoer.</w:t>
            </w:r>
          </w:p>
        </w:tc>
        <w:tc>
          <w:tcPr>
            <w:tcW w:type="dxa" w:w="2592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FFFFF" w:val="clea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Bestemmelsene kap. 2.4 b</w:t>
              <w:br/>
              <w:t>DFØs Veiledere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FFFFF" w:val="clea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[  ] Utført</w:t>
              <w:br/>
              <w:t>[  ] Avvik</w:t>
            </w:r>
          </w:p>
        </w:tc>
      </w:tr>
      <w:tr>
        <w:tc>
          <w:tcPr>
            <w:tcW w:type="dxa" w:w="2592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2F5F9" w:val="clear"/>
          </w:tcPr>
          <w:p>
            <w:pPr>
              <w:spacing w:before="40" w:after="40" w:line="264" w:lineRule="auto"/>
            </w:pPr>
            <w:r>
              <w:rPr>
                <w:b/>
                <w:color w:val="1F3864"/>
                <w:sz w:val="18"/>
              </w:rPr>
              <w:t>3. Budsjettdisponering (BDM)</w:t>
            </w:r>
          </w:p>
        </w:tc>
        <w:tc>
          <w:tcPr>
            <w:tcW w:type="dxa" w:w="4608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2F5F9" w:val="clea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• Skriftlig eller elektronisk forhåndsgodkjenning fra person med BDM før forpliktelse inngås.</w:t>
              <w:br/>
              <w:t>• Verifikasjon av tre obligatoriske vilkår: Hjemmel, Budsjettdet dekning og Økonomisk forsvarlighet.</w:t>
            </w:r>
          </w:p>
        </w:tc>
        <w:tc>
          <w:tcPr>
            <w:tcW w:type="dxa" w:w="2592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2F5F9" w:val="clea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Bestemmelsene kap. 2.5.2.1</w:t>
              <w:br/>
              <w:t>Interne hovedregler § 3.1.1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2F5F9" w:val="clea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[  ] Utført</w:t>
              <w:br/>
              <w:t>[  ] Avvik</w:t>
            </w:r>
          </w:p>
        </w:tc>
      </w:tr>
      <w:tr>
        <w:tc>
          <w:tcPr>
            <w:tcW w:type="dxa" w:w="2592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FFFFF" w:val="clear"/>
          </w:tcPr>
          <w:p>
            <w:pPr>
              <w:spacing w:before="40" w:after="40" w:line="264" w:lineRule="auto"/>
            </w:pPr>
            <w:r>
              <w:rPr>
                <w:b/>
                <w:color w:val="1F3864"/>
                <w:sz w:val="18"/>
              </w:rPr>
              <w:t>4. Attestasjon og Varemottak</w:t>
            </w:r>
          </w:p>
        </w:tc>
        <w:tc>
          <w:tcPr>
            <w:tcW w:type="dxa" w:w="4608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FFFFF" w:val="clea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• Attestasjon utføres av uavhengig person som bekrefter at varer/tjenester er levert ihht. avtale.</w:t>
              <w:br/>
              <w:t>• Attestant kontrollerer pris, kvantum, leveranse og regnskapsmessig kontering (R-102).</w:t>
            </w:r>
          </w:p>
        </w:tc>
        <w:tc>
          <w:tcPr>
            <w:tcW w:type="dxa" w:w="2592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FFFFF" w:val="clea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Bestemmelsene kap. 2.5.2.2 / 5.3.5.2</w:t>
              <w:br/>
              <w:t>Interne hovedregler § 3.1.3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FFFFF" w:val="clea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[  ] Utført</w:t>
              <w:br/>
              <w:t>[  ] Avvik</w:t>
            </w:r>
          </w:p>
        </w:tc>
      </w:tr>
      <w:tr>
        <w:tc>
          <w:tcPr>
            <w:tcW w:type="dxa" w:w="2592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2F5F9" w:val="clear"/>
          </w:tcPr>
          <w:p>
            <w:pPr>
              <w:spacing w:before="40" w:after="40" w:line="264" w:lineRule="auto"/>
            </w:pPr>
            <w:r>
              <w:rPr>
                <w:b/>
                <w:color w:val="1F3864"/>
                <w:sz w:val="18"/>
              </w:rPr>
              <w:t>5. Habilitet og Egenutbetaling</w:t>
            </w:r>
          </w:p>
        </w:tc>
        <w:tc>
          <w:tcPr>
            <w:tcW w:type="dxa" w:w="4608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2F5F9" w:val="clea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• Absolutt forbud mot at ingen godkjenner utbetalinger, reiser eller godtgjørelser til seg selv, overordnede eller nærstående.</w:t>
              <w:br/>
              <w:t>• Overordnet godkjenning ved lederes egne utgifter.</w:t>
            </w:r>
          </w:p>
        </w:tc>
        <w:tc>
          <w:tcPr>
            <w:tcW w:type="dxa" w:w="2592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2F5F9" w:val="clea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Bestemmelsene kap. 2.5.2.1–2</w:t>
              <w:br/>
              <w:t>Interne hovedregler § 3.1.1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2F5F9" w:val="clea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[  ] Utført</w:t>
              <w:br/>
              <w:t>[  ] Avvik</w:t>
            </w:r>
          </w:p>
        </w:tc>
      </w:tr>
      <w:tr>
        <w:tc>
          <w:tcPr>
            <w:tcW w:type="dxa" w:w="2592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FFFFF" w:val="clear"/>
          </w:tcPr>
          <w:p>
            <w:pPr>
              <w:spacing w:before="40" w:after="40" w:line="264" w:lineRule="auto"/>
            </w:pPr>
            <w:r>
              <w:rPr>
                <w:b/>
                <w:color w:val="1F3864"/>
                <w:sz w:val="18"/>
              </w:rPr>
              <w:t>6. Betaling og Masterdata</w:t>
            </w:r>
          </w:p>
        </w:tc>
        <w:tc>
          <w:tcPr>
            <w:tcW w:type="dxa" w:w="4608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FFFFF" w:val="clea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• Uavhengig godkjenning av betalingsoppdrag i bank (to autorisasjoner).</w:t>
              <w:br/>
              <w:t>• Sperre på masterdata: Endring av leverandørers/ansattes bankkontonummer kontrolleres av uavhengig rolle.</w:t>
            </w:r>
          </w:p>
        </w:tc>
        <w:tc>
          <w:tcPr>
            <w:tcW w:type="dxa" w:w="2592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FFFFF" w:val="clea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Bestemmelsene kap. 3.7.3.3 / 5.2.4.1</w:t>
              <w:br/>
              <w:t>Interne hovedregler § 3.1.5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FFFFF" w:val="clea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[  ] Utført</w:t>
              <w:br/>
              <w:t>[  ] Avvik</w:t>
            </w:r>
          </w:p>
        </w:tc>
      </w:tr>
      <w:tr>
        <w:tc>
          <w:tcPr>
            <w:tcW w:type="dxa" w:w="2592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2F5F9" w:val="clear"/>
          </w:tcPr>
          <w:p>
            <w:pPr>
              <w:spacing w:before="40" w:after="40" w:line="264" w:lineRule="auto"/>
            </w:pPr>
            <w:r>
              <w:rPr>
                <w:b/>
                <w:color w:val="1F3864"/>
                <w:sz w:val="18"/>
              </w:rPr>
              <w:t>7. Aggregerte Kontroller og Avstemming</w:t>
            </w:r>
          </w:p>
        </w:tc>
        <w:tc>
          <w:tcPr>
            <w:tcW w:type="dxa" w:w="4608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2F5F9" w:val="clea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• Månedlig balanseavstemming med skriftlig dokumentasjon og signatur på alle balansekontoer.</w:t>
              <w:br/>
              <w:t>• Tertialvis avviksanalyse mellom periodisert budsjett, regnskap og prognose.</w:t>
            </w:r>
          </w:p>
        </w:tc>
        <w:tc>
          <w:tcPr>
            <w:tcW w:type="dxa" w:w="2592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2F5F9" w:val="clea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Bestemmelsene kap. 2.5.4 / 4.4.6</w:t>
              <w:br/>
              <w:t>UH-instruksen § 4.3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2F5F9" w:val="clea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[  ] Utført</w:t>
              <w:br/>
              <w:t>[  ] Avvik</w:t>
            </w:r>
          </w:p>
        </w:tc>
      </w:tr>
      <w:tr>
        <w:tc>
          <w:tcPr>
            <w:tcW w:type="dxa" w:w="2592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FFFFF" w:val="clear"/>
          </w:tcPr>
          <w:p>
            <w:pPr>
              <w:spacing w:before="40" w:after="40" w:line="264" w:lineRule="auto"/>
            </w:pPr>
            <w:r>
              <w:rPr>
                <w:b/>
                <w:color w:val="1F3864"/>
                <w:sz w:val="18"/>
              </w:rPr>
              <w:t>8. Misligheter og Rapportering</w:t>
            </w:r>
          </w:p>
        </w:tc>
        <w:tc>
          <w:tcPr>
            <w:tcW w:type="dxa" w:w="4608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FFFFF" w:val="clea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• Etablerte rutiner for umiddelbar underretting til Riksrevisjonen ved avdekking av misligheter.</w:t>
              <w:br/>
              <w:t>• Rapportering om internkontrollens funksjon i Årsrapportens Del IV (Styring og kontroll).</w:t>
            </w:r>
          </w:p>
        </w:tc>
        <w:tc>
          <w:tcPr>
            <w:tcW w:type="dxa" w:w="2592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FFFFF" w:val="clea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Bestemmelsene kap. 1.6.1 / 2.4</w:t>
              <w:br/>
              <w:t>Krav til årsrapport Del IV</w:t>
            </w:r>
          </w:p>
        </w:tc>
        <w:tc>
          <w:tcPr>
            <w:tcW w:type="dxa" w:w="1440"/>
            <w:vAlign w:val="top"/>
            <w:tcMar>
              <w:top w:w="120" w:type="dxa"/>
              <w:bottom w:w="120" w:type="dxa"/>
              <w:left w:w="120" w:type="dxa"/>
              <w:right w:w="120" w:type="dxa"/>
            </w:tcMar>
            <w:shd w:fill="FFFFFF" w:val="clear"/>
          </w:tcPr>
          <w:p>
            <w:pPr>
              <w:spacing w:before="40" w:after="40" w:line="264" w:lineRule="auto"/>
            </w:pPr>
            <w:r>
              <w:rPr>
                <w:sz w:val="18"/>
              </w:rPr>
              <w:t>[  ] Utført</w:t>
              <w:br/>
              <w:t>[  ] Avvik</w:t>
            </w:r>
          </w:p>
        </w:tc>
      </w:tr>
    </w:tbl>
    <w:p>
      <w:pPr>
        <w:pStyle w:val="Heading1"/>
        <w:spacing w:before="320" w:after="120"/>
      </w:pPr>
      <w:r>
        <w:rPr>
          <w:b/>
          <w:color w:val="1F3864"/>
          <w:sz w:val="28"/>
        </w:rPr>
        <w:t>3. Oppfølging, Avvikshåndtering og Årsrapportering</w:t>
      </w:r>
    </w:p>
    <w:p>
      <w:pPr>
        <w:spacing w:after="120" w:line="276" w:lineRule="auto"/>
      </w:pPr>
      <w:r>
        <w:rPr>
          <w:b/>
        </w:rPr>
        <w:t xml:space="preserve">1. Årlig gjennomgang: </w:t>
      </w:r>
      <w:r>
        <w:t>Enhetsleder (BAO) og controller skal minst én gang per år gjennomgå denne sjekklisten for å verifisere at alle internkontrollrutiner fungerer etter hensikten.</w:t>
      </w:r>
    </w:p>
    <w:p>
      <w:pPr>
        <w:spacing w:after="120" w:line="276" w:lineRule="auto"/>
      </w:pPr>
      <w:r>
        <w:rPr>
          <w:b/>
        </w:rPr>
        <w:t xml:space="preserve">2. Avviksoppfølging: </w:t>
      </w:r>
      <w:r>
        <w:t>Identifiserte avvik skal protokollføres med beskrivelse av svikten, tiltak for korreksjon, ansvarlig person og frist for gjennomføring.</w:t>
      </w:r>
    </w:p>
    <w:p>
      <w:pPr>
        <w:spacing w:after="320" w:line="276" w:lineRule="auto"/>
      </w:pPr>
      <w:r>
        <w:rPr>
          <w:b/>
        </w:rPr>
        <w:t xml:space="preserve">3. Rapportering i Årsrapportens Del IV: </w:t>
      </w:r>
      <w:r>
        <w:t>Konklusjonene fra internkontrollgjennomgangen utgjør direkte underlag for styrets og ledelsens rapportering om internkontroll, risikostyring og Riksrevisjonsoppfølging i årsrapportens Del IV.</w:t>
      </w:r>
    </w:p>
    <w:p>
      <w:pPr>
        <w:pStyle w:val="Heading2"/>
        <w:spacing w:before="240" w:after="120"/>
      </w:pPr>
      <w:r>
        <w:rPr>
          <w:b/>
          <w:color w:val="1F3864"/>
          <w:sz w:val="24"/>
        </w:rPr>
        <w:t>4. Bekreftelse og Signaturer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752"/>
            <w:tcMar>
              <w:top w:w="100" w:type="dxa"/>
              <w:bottom w:w="100" w:type="dxa"/>
              <w:left w:w="100" w:type="dxa"/>
              <w:right w:w="100" w:type="dxa"/>
            </w:tcMar>
            <w:shd w:fill="FAFAFA" w:val="clear"/>
          </w:tcPr>
          <w:p>
            <w:r>
              <w:rPr>
                <w:sz w:val="19"/>
              </w:rPr>
              <w:t>Gjennomført av (Controller / Økonomiansvarlig):</w:t>
              <w:br/>
              <w:br/>
              <w:t>_________________________________________</w:t>
              <w:br/>
              <w:t>Dato / Signatur</w:t>
            </w:r>
          </w:p>
        </w:tc>
        <w:tc>
          <w:tcPr>
            <w:tcW w:type="dxa" w:w="4752"/>
            <w:tcMar>
              <w:top w:w="100" w:type="dxa"/>
              <w:bottom w:w="100" w:type="dxa"/>
              <w:left w:w="100" w:type="dxa"/>
              <w:right w:w="100" w:type="dxa"/>
            </w:tcMar>
            <w:shd w:fill="FAFAFA" w:val="clear"/>
          </w:tcPr>
          <w:p>
            <w:r>
              <w:rPr>
                <w:sz w:val="19"/>
              </w:rPr>
              <w:t>Godkjent av (Enhetsleder / BAO):</w:t>
              <w:br/>
              <w:br/>
              <w:t>_________________________________________</w:t>
              <w:br/>
              <w:t>Dato / Signatur</w:t>
            </w:r>
          </w:p>
        </w:tc>
      </w:tr>
      <w:tr>
        <w:tc>
          <w:tcPr>
            <w:tcW w:type="dxa" w:w="4752"/>
            <w:tcMar>
              <w:top w:w="100" w:type="dxa"/>
              <w:bottom w:w="100" w:type="dxa"/>
              <w:left w:w="100" w:type="dxa"/>
              <w:right w:w="100" w:type="dxa"/>
            </w:tcMar>
            <w:shd w:fill="FAFAFA" w:val="clear"/>
          </w:tcPr>
          <w:p>
            <w:r>
              <w:rPr>
                <w:sz w:val="19"/>
              </w:rPr>
              <w:t>Virksomhet / Enhet:</w:t>
              <w:br/>
              <w:t>_________________________________________</w:t>
            </w:r>
          </w:p>
        </w:tc>
        <w:tc>
          <w:tcPr>
            <w:tcW w:type="dxa" w:w="4752"/>
            <w:tcMar>
              <w:top w:w="100" w:type="dxa"/>
              <w:bottom w:w="100" w:type="dxa"/>
              <w:left w:w="100" w:type="dxa"/>
              <w:right w:w="100" w:type="dxa"/>
            </w:tcMar>
            <w:shd w:fill="FAFAFA" w:val="clear"/>
          </w:tcPr>
          <w:p>
            <w:r>
              <w:rPr>
                <w:sz w:val="19"/>
              </w:rPr>
              <w:t>Neste planlagte kontroll:</w:t>
              <w:br/>
              <w:t>_________________________________________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7"/>
      </w:rPr>
      <w:t>Sjekkliste for Internkontroll i Statlig UH-Virksomhet — Reglement for økonomistyring i staten § 14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88888"/>
        <w:sz w:val="17"/>
      </w:rPr>
      <w:t>INTERNKONTROLLSYSTEM | STATLIG ØKONOMISTYRING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