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E79"/>
          <w:sz w:val="40"/>
        </w:rPr>
        <w:t>Redegjørelse og dokumentasjonsunderlag for Certificate on the Financial Statements (CFS)</w:t>
      </w:r>
    </w:p>
    <w:p>
      <w:pPr>
        <w:spacing w:after="360"/>
      </w:pPr>
      <w:r>
        <w:rPr>
          <w:rFonts w:ascii="Calibri" w:hAnsi="Calibri"/>
          <w:i/>
          <w:color w:val="595959"/>
          <w:sz w:val="26"/>
        </w:rPr>
        <w:t>Horisont Europa (EU Horizon Europe) – Rapportering av faktiske kostnader</w:t>
      </w:r>
    </w:p>
    <w:p>
      <w:pPr>
        <w:pStyle w:val="Heading1"/>
      </w:pPr>
      <w:r>
        <w:t>1. Prosjektidentifikasjon og stamdata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F2F4F7" w:val="clear"/>
          </w:tcPr>
          <w:p>
            <w:pPr>
              <w:spacing w:after="40"/>
            </w:pPr>
            <w:r>
              <w:rPr>
                <w:b/>
              </w:rPr>
              <w:t>Prosjektnavn &amp; Akronym:</w:t>
            </w:r>
          </w:p>
        </w:tc>
        <w:tc>
          <w:tcPr>
            <w:tcW w:type="dxa" w:w="5760"/>
            <w:shd w:fill="F2F4F7" w:val="clear"/>
          </w:tcPr>
          <w:p>
            <w:pPr>
              <w:spacing w:after="40"/>
            </w:pPr>
            <w:r>
              <w:t>[f.eks. GREEN-RESEARCH / Green Tech Innovation]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b/>
              </w:rPr>
              <w:t>Grant Agreement (GA) nummer: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t>[101xxxxxx]</w:t>
            </w:r>
          </w:p>
        </w:tc>
      </w:tr>
      <w:tr>
        <w:tc>
          <w:tcPr>
            <w:tcW w:type="dxa" w:w="3600"/>
            <w:shd w:fill="F2F4F7" w:val="clear"/>
          </w:tcPr>
          <w:p>
            <w:pPr>
              <w:spacing w:after="40"/>
            </w:pPr>
            <w:r>
              <w:rPr>
                <w:b/>
              </w:rPr>
              <w:t>Prosjektleder (PL):</w:t>
            </w:r>
          </w:p>
        </w:tc>
        <w:tc>
          <w:tcPr>
            <w:tcW w:type="dxa" w:w="5760"/>
            <w:shd w:fill="F2F4F7" w:val="clear"/>
          </w:tcPr>
          <w:p>
            <w:pPr>
              <w:spacing w:after="40"/>
            </w:pPr>
            <w:r>
              <w:t>[Navn og tittel]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b/>
              </w:rPr>
              <w:t>Ansvarlig økonomicontroller: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t>[Navn og tittel]</w:t>
            </w:r>
          </w:p>
        </w:tc>
      </w:tr>
      <w:tr>
        <w:tc>
          <w:tcPr>
            <w:tcW w:type="dxa" w:w="3600"/>
            <w:shd w:fill="F2F4F7" w:val="clear"/>
          </w:tcPr>
          <w:p>
            <w:pPr>
              <w:spacing w:after="40"/>
            </w:pPr>
            <w:r>
              <w:rPr>
                <w:b/>
              </w:rPr>
              <w:t>Rapporteringsperiode (RP):</w:t>
            </w:r>
          </w:p>
        </w:tc>
        <w:tc>
          <w:tcPr>
            <w:tcW w:type="dxa" w:w="5760"/>
            <w:shd w:fill="F2F4F7" w:val="clear"/>
          </w:tcPr>
          <w:p>
            <w:pPr>
              <w:spacing w:after="40"/>
            </w:pPr>
            <w:r>
              <w:t>[f.eks. RP2: M19–M36 (01.01.2025–31.12.2026)]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b/>
              </w:rPr>
              <w:t>Rolle i prosjektet: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t>[  ] Koordinator   [  ] Partner</w:t>
            </w:r>
          </w:p>
        </w:tc>
      </w:tr>
      <w:tr>
        <w:tc>
          <w:tcPr>
            <w:tcW w:type="dxa" w:w="3600"/>
            <w:shd w:fill="F2F4F7" w:val="clear"/>
          </w:tcPr>
          <w:p>
            <w:pPr>
              <w:spacing w:after="40"/>
            </w:pPr>
            <w:r>
              <w:rPr>
                <w:b/>
              </w:rPr>
              <w:t>Totale rapporterte direkte kostnader:</w:t>
            </w:r>
          </w:p>
        </w:tc>
        <w:tc>
          <w:tcPr>
            <w:tcW w:type="dxa" w:w="5760"/>
            <w:shd w:fill="F2F4F7" w:val="clear"/>
          </w:tcPr>
          <w:p>
            <w:pPr>
              <w:spacing w:after="40"/>
            </w:pPr>
            <w:r>
              <w:t>[EUR / NOK]</w:t>
            </w:r>
          </w:p>
        </w:tc>
      </w:tr>
    </w:tbl>
    <w:p>
      <w:pPr>
        <w:spacing w:after="240"/>
      </w:pPr>
    </w:p>
    <w:p>
      <w:pPr>
        <w:pStyle w:val="Heading1"/>
      </w:pPr>
      <w:r>
        <w:t>2. Formål og Rettslig Grunnlag</w:t>
      </w:r>
    </w:p>
    <w:p>
      <w:r>
        <w:t xml:space="preserve">Dette notatet redegjør for de regnskapsmessige forutsetningene, beregningsmetodene og internkontrollene som er lagt til grunn ved kostnadsrapporteringen for prosjektet i EUs </w:t>
      </w:r>
      <w:r>
        <w:rPr>
          <w:b/>
        </w:rPr>
        <w:t>Funding &amp; Tenders Portal</w:t>
      </w:r>
      <w:r>
        <w:t xml:space="preserve">. Formålet er å gi statsautorisert revisor et strukturert og etterrettelig dokumentasjonsgrunnlag for utarbeidelse og utstedelse av </w:t>
      </w:r>
      <w:r>
        <w:rPr>
          <w:b/>
        </w:rPr>
        <w:t>Certificate on the Financial Statements (CFS)</w:t>
      </w:r>
      <w:r>
        <w:t xml:space="preserve"> i samsvar med EUs Model Grant Agreement (MGA) artikkel 24 og Anneks 5.</w:t>
      </w:r>
    </w:p>
    <w:p>
      <w:pPr>
        <w:pStyle w:val="Heading1"/>
      </w:pPr>
      <w:r>
        <w:t>3. Personalkostnader (Personnel Costs)</w:t>
      </w:r>
    </w:p>
    <w:p>
      <w:pPr>
        <w:pStyle w:val="Heading2"/>
      </w:pPr>
      <w:r>
        <w:t>Beregning av dagsats (Daily Rate)</w:t>
      </w:r>
    </w:p>
    <w:p>
      <w:r>
        <w:t>Personalkostnader er beregnet ut fra faktiske arbeidede dager på prosjektet multiplisert med en individuelt beregnet dagsats i henhold til Horisont Europa-regelverket:</w:t>
        <w:br/>
      </w:r>
    </w:p>
    <w:p>
      <w:pPr>
        <w:jc w:val="center"/>
      </w:pPr>
      <w:r>
        <w:rPr>
          <w:b/>
          <w:color w:val="1F4E79"/>
        </w:rPr>
        <w:t>Dagsats = Faktiske årlige personalkostnader / 215 dager</w:t>
      </w:r>
    </w:p>
    <w:p>
      <w:r>
        <w:t xml:space="preserve">• </w:t>
      </w:r>
      <w:r>
        <w:rPr>
          <w:b/>
        </w:rPr>
        <w:t xml:space="preserve">Avsluttede regnskapsår: </w:t>
      </w:r>
      <w:r>
        <w:t>For hele kalenderår (januar–desember) benyttes faktiske personalkostnader fra virksomhetens lønnsmodul (kontoklasse 5 i Statens kontoplan R-102) delt på standardfaktoren 215 dager.</w:t>
        <w:br/>
      </w:r>
      <w:r>
        <w:t xml:space="preserve">• </w:t>
      </w:r>
      <w:r>
        <w:rPr>
          <w:b/>
        </w:rPr>
        <w:t xml:space="preserve">Uavsluttede regnskapsår (Delår): </w:t>
      </w:r>
      <w:r>
        <w:t>For rapporteringsperioder som avsluttes midt i et regnskapsår, benyttes pro-rata formel: [Faktiske kostnader hittil i perioden / ((215 / 12) × antall måneder)].</w:t>
      </w:r>
    </w:p>
    <w:p>
      <w:pPr>
        <w:pStyle w:val="Heading2"/>
      </w:pPr>
      <w:r>
        <w:t>Timeregistrering og godkjenning</w:t>
      </w:r>
    </w:p>
    <w:p>
      <w:r>
        <w:t>Faktisk arbeidstid er registrert fortløpende i universitetets elektroniske timeregistreringssystem (eller godkjente månedlige timesheets). Timene konverteres til hele/halve dager og avrundes til nærmeste halv-dag. Det bekreftes at ingen ansatte har ført mer enn totalt 100 % stilling på tvers av alle prosjekter (EU, NFR og bevilgning).</w:t>
      </w:r>
    </w:p>
    <w:p>
      <w:pPr>
        <w:pStyle w:val="Heading2"/>
      </w:pPr>
      <w:r>
        <w:t>Inkluderte lønnselementer</w:t>
      </w:r>
    </w:p>
    <w:p>
      <w:r>
        <w:t>I henhold til Statlige RegnskapsStandarder (SRS 25) inkluderer personalkostnadene brutto fast lønn, lovpålagt arbeidsgiveravgift, feriepenger og pliktig pensjonspremie til Statens pensjonskasse (SPK). Indirekte tillegg eller vilkårlige bonuser er ikke inkludert.</w:t>
      </w:r>
    </w:p>
    <w:p>
      <w:pPr>
        <w:pStyle w:val="Heading1"/>
      </w:pPr>
      <w:r>
        <w:t>4. Direkte Driftskostnader og Anskaffelser</w:t>
      </w:r>
    </w:p>
    <w:p>
      <w:r>
        <w:t xml:space="preserve">• </w:t>
      </w:r>
      <w:r>
        <w:rPr>
          <w:b/>
        </w:rPr>
        <w:t xml:space="preserve">Innkjøp og underleverandører (Subcontracting): </w:t>
      </w:r>
      <w:r>
        <w:t>Alle anskaffelser av varer og tjenester er gjennomført i samsvar med Lov om offentlige anskaffelser og interne retningslinjer for å sikre 'Best Value for Money' og forhindre interessekonflikter. Underleverandører er forhåndsspeisifisert i Anneks 1 og 2 i Grant Agreement.</w:t>
        <w:br/>
      </w:r>
    </w:p>
    <w:p>
      <w:r>
        <w:t xml:space="preserve">• </w:t>
      </w:r>
      <w:r>
        <w:rPr>
          <w:b/>
        </w:rPr>
        <w:t xml:space="preserve">Reisekostnader: </w:t>
      </w:r>
      <w:r>
        <w:t>Førte reiseutgifter gjelder utelukkende aktiviteter direkte knyttet til prosjektgjennomføringen (konsortiemøter, feltarbeid, fagkonferanser). Alle reiser er dokumentert med godkjente reiseregninger, kvitteringer og boardingkort.</w:t>
        <w:br/>
      </w:r>
    </w:p>
    <w:p>
      <w:r>
        <w:t xml:space="preserve">• </w:t>
      </w:r>
      <w:r>
        <w:rPr>
          <w:b/>
        </w:rPr>
        <w:t xml:space="preserve">MVA-behandling: </w:t>
      </w:r>
      <w:r>
        <w:t>Universitetet har utelukkende ført ikke-refunderbar merverdiavgift som prosjektkostnad. Refunderbar MVA er skilt ut og trukket fra før innrapportering.</w:t>
      </w:r>
    </w:p>
    <w:p>
      <w:pPr>
        <w:pStyle w:val="Heading1"/>
      </w:pPr>
      <w:r>
        <w:t>5. Indirekte Kostnader (Overhead)</w:t>
      </w:r>
    </w:p>
    <w:p>
      <w:r>
        <w:t xml:space="preserve">Indirekte kostnader (overhead) er beregnet som et automatisk flatt påslag på </w:t>
      </w:r>
      <w:r>
        <w:rPr>
          <w:b/>
        </w:rPr>
        <w:t>25 %</w:t>
      </w:r>
      <w:r>
        <w:t xml:space="preserve"> av prosjektets totalt godkjente direkte kostnader (ekskludert subcontracting og særskilte leiestedsutgifter). Generelle administrasjons- og husleiekostnader er ikke ført direkte.</w:t>
      </w:r>
    </w:p>
    <w:p>
      <w:pPr>
        <w:pStyle w:val="Heading1"/>
      </w:pPr>
      <w:r>
        <w:t>6. Finansiell Avstemming og Kontrollspor (SRS &amp; R-102)</w:t>
      </w:r>
    </w:p>
    <w:p>
      <w:r>
        <w:t xml:space="preserve">• </w:t>
      </w:r>
      <w:r>
        <w:rPr>
          <w:b/>
        </w:rPr>
        <w:t xml:space="preserve">Bokføring i Statens Kontoplan (R-102): </w:t>
      </w:r>
      <w:r>
        <w:t>Alle transaksjoner er bokført på dedikert prosjektnummer i økonomisystemet på gjeldende artskontoer i kontoklasse 3 (tilskudd), 5 (lønn) og 6/7 (drift).</w:t>
        <w:br/>
      </w:r>
    </w:p>
    <w:p>
      <w:r>
        <w:t xml:space="preserve">• </w:t>
      </w:r>
      <w:r>
        <w:rPr>
          <w:b/>
        </w:rPr>
        <w:t xml:space="preserve">Koordinatorrolle (SRS 10 pkt. 23): </w:t>
      </w:r>
      <w:r>
        <w:t>Ved koordinatorstatus er partneres midler balanseført på konto 250 (Gjeld ved tilskuddsforvaltning) og utbetalt direkte via balansen. Partneres midler er ikke inntekts- eller kostnadsført i universitetets eget resultatregnskap.</w:t>
        <w:br/>
      </w:r>
    </w:p>
    <w:p>
      <w:r>
        <w:t xml:space="preserve">• </w:t>
      </w:r>
      <w:r>
        <w:rPr>
          <w:b/>
        </w:rPr>
        <w:t xml:space="preserve">Funksjonsskille og BDM: </w:t>
      </w:r>
      <w:r>
        <w:t>Det er praktisert et strengt to-manns-prinsipp der prosjektleder har utført faglig attestasjon (varemottak), mens økonomisk godkjenning/BDM er utført av uavhengig leder (dekan/instituttleder). Egenattestasjon har ikke forekommet.</w:t>
      </w:r>
    </w:p>
    <w:p>
      <w:pPr>
        <w:pStyle w:val="Heading1"/>
      </w:pPr>
      <w:r>
        <w:t>7. Vedleggsliste til Revisor</w:t>
      </w:r>
    </w:p>
    <w:p>
      <w:pPr>
        <w:pStyle w:val="ListBullet"/>
      </w:pPr>
      <w:r>
        <w:t>Kopi av Grant Agreement (GA) med Anneks 1 og 2.</w:t>
      </w:r>
    </w:p>
    <w:p>
      <w:pPr>
        <w:pStyle w:val="ListBullet"/>
      </w:pPr>
      <w:r>
        <w:t>Prosjektregnskapsrapport fra økonomisystemet spesifisert per artskonto.</w:t>
      </w:r>
    </w:p>
    <w:p>
      <w:pPr>
        <w:pStyle w:val="ListBullet"/>
      </w:pPr>
      <w:r>
        <w:t>Lønnsspesifikasjoner og avstemming av dagsatsberegninger per ansatt.</w:t>
      </w:r>
    </w:p>
    <w:p>
      <w:pPr>
        <w:pStyle w:val="ListBullet"/>
      </w:pPr>
      <w:r>
        <w:t>Godkjente timelister / elektronisk uttrekk av timeføring per måned.</w:t>
      </w:r>
    </w:p>
    <w:p>
      <w:pPr>
        <w:pStyle w:val="ListBullet"/>
      </w:pPr>
      <w:r>
        <w:t>Bilagsjournal og stikkprøvebilag for reiser, utstyr og kjøp av tjenester.</w:t>
      </w:r>
    </w:p>
    <w:p>
      <w:pPr>
        <w:pStyle w:val="ListBullet"/>
      </w:pPr>
      <w:r>
        <w:t>Kontoutskrift for valutakonto / bekreftelse på utbetalinger til konsortiumpartnere.</w:t>
      </w:r>
    </w:p>
    <w:p>
      <w:pPr>
        <w:spacing w:after="480"/>
      </w:pPr>
    </w:p>
    <w:p>
      <w:pPr>
        <w:pStyle w:val="Heading2"/>
      </w:pPr>
      <w:r>
        <w:t>Signaturer og bekreftelse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b/>
              </w:rPr>
              <w:t>_____________________________________</w:t>
              <w:br/>
            </w:r>
            <w:r>
              <w:t>[Navn]</w:t>
              <w:br/>
              <w:t>Prosjektleder (PL)</w:t>
            </w:r>
          </w:p>
        </w:tc>
        <w:tc>
          <w:tcPr>
            <w:tcW w:type="dxa" w:w="4608"/>
          </w:tcPr>
          <w:p>
            <w:r>
              <w:rPr>
                <w:b/>
              </w:rPr>
              <w:t>_____________________________________</w:t>
              <w:br/>
            </w:r>
            <w:r>
              <w:t>[Navn]</w:t>
              <w:br/>
              <w:t>Økonomicontroller / Seksjonssjef Økonomi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