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</w:pPr>
      <w:r>
        <w:rPr>
          <w:rFonts w:ascii="Calibri" w:hAnsi="Calibri"/>
          <w:b/>
          <w:color w:val="2F5496"/>
          <w:sz w:val="44"/>
        </w:rPr>
        <w:t>Rapporteringsmal: Årsrapportens Del IV</w:t>
      </w:r>
    </w:p>
    <w:p>
      <w:pPr>
        <w:spacing w:after="320"/>
      </w:pPr>
      <w:r>
        <w:rPr>
          <w:rFonts w:ascii="Calibri" w:hAnsi="Calibri"/>
          <w:i/>
          <w:color w:val="595959"/>
          <w:sz w:val="24"/>
        </w:rPr>
        <w:t>Styring og kontroll i virksomheten — Standard mønstertekst for statlige universiteter og høyskoler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3168"/>
            <w:shd w:fill="F2F4F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40"/>
            </w:pPr>
            <w:r>
              <w:rPr>
                <w:b/>
                <w:sz w:val="20"/>
              </w:rPr>
              <w:t>Institusjon:</w:t>
            </w:r>
          </w:p>
        </w:tc>
        <w:tc>
          <w:tcPr>
            <w:tcW w:type="dxa" w:w="619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40"/>
            </w:pPr>
            <w:r>
              <w:rPr>
                <w:sz w:val="20"/>
              </w:rPr>
              <w:t>[Sett inn virksomhetens navn]</w:t>
            </w:r>
          </w:p>
        </w:tc>
      </w:tr>
      <w:tr>
        <w:tc>
          <w:tcPr>
            <w:tcW w:type="dxa" w:w="3168"/>
            <w:shd w:fill="F2F4F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40"/>
            </w:pPr>
            <w:r>
              <w:rPr>
                <w:b/>
                <w:sz w:val="20"/>
              </w:rPr>
              <w:t>Rapporteringsår:</w:t>
            </w:r>
          </w:p>
        </w:tc>
        <w:tc>
          <w:tcPr>
            <w:tcW w:type="dxa" w:w="619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40"/>
            </w:pPr>
            <w:r>
              <w:rPr>
                <w:sz w:val="20"/>
              </w:rPr>
              <w:t>2026 (Frist for innsending: 15. mars 2027)</w:t>
            </w:r>
          </w:p>
        </w:tc>
      </w:tr>
      <w:tr>
        <w:tc>
          <w:tcPr>
            <w:tcW w:type="dxa" w:w="3168"/>
            <w:shd w:fill="F2F4F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40"/>
            </w:pPr>
            <w:r>
              <w:rPr>
                <w:b/>
                <w:sz w:val="20"/>
              </w:rPr>
              <w:t>Hjemmel og krav:</w:t>
            </w:r>
          </w:p>
        </w:tc>
        <w:tc>
          <w:tcPr>
            <w:tcW w:type="dxa" w:w="619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40"/>
            </w:pPr>
            <w:r>
              <w:rPr>
                <w:sz w:val="20"/>
              </w:rPr>
              <w:t>KD Krav til årsrapport, Bestemmelsene kap. 1.6/2.3, UHL § 10-1</w:t>
            </w:r>
          </w:p>
        </w:tc>
      </w:tr>
      <w:tr>
        <w:tc>
          <w:tcPr>
            <w:tcW w:type="dxa" w:w="3168"/>
            <w:shd w:fill="F2F4F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40"/>
            </w:pPr>
            <w:r>
              <w:rPr>
                <w:b/>
                <w:sz w:val="20"/>
              </w:rPr>
              <w:t>Behandlet i Universitetsstyret:</w:t>
            </w:r>
          </w:p>
        </w:tc>
        <w:tc>
          <w:tcPr>
            <w:tcW w:type="dxa" w:w="619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40"/>
            </w:pPr>
            <w:r>
              <w:rPr>
                <w:sz w:val="20"/>
              </w:rPr>
              <w:t>Saksnr. [XX/26] — Møtedato: [Dato]</w:t>
            </w:r>
          </w:p>
        </w:tc>
      </w:tr>
    </w:tbl>
    <w:p>
      <w:pPr>
        <w:spacing w:after="240"/>
      </w:pPr>
    </w:p>
    <w:p>
      <w:pPr>
        <w:keepNext/>
        <w:spacing w:before="320" w:after="120"/>
      </w:pPr>
      <w:r>
        <w:rPr>
          <w:rFonts w:ascii="Calibri" w:hAnsi="Calibri"/>
          <w:b/>
          <w:color w:val="2F5496"/>
          <w:sz w:val="30"/>
        </w:rPr>
        <w:t>Del 1: Rapportering om styring og kontroll</w:t>
      </w:r>
    </w:p>
    <w:p>
      <w:r>
        <w:t>Denne delen gir en overordnet redegjørelse for virksomhetens internkontroll, risikostyring og styrets samlede vurdering i regnskapsåret, i samsvar med Kunnskapsdepartementets krav til årsrapport.</w:t>
      </w:r>
    </w:p>
    <w:p>
      <w:pPr>
        <w:keepNext/>
        <w:spacing w:before="240" w:after="80"/>
      </w:pPr>
      <w:r>
        <w:rPr>
          <w:rFonts w:ascii="Calibri" w:hAnsi="Calibri"/>
          <w:b/>
          <w:color w:val="4472C4"/>
          <w:sz w:val="25"/>
        </w:rPr>
        <w:t>1. System for risikovurdering og gjennomføring</w:t>
      </w:r>
    </w:p>
    <w:p>
      <w:r>
        <w:t>Virksomheten har etablert et integrert system for risikostyring og internkontroll som er tilpasset institusjonens egenart, størrelse, risiko og vesentlighet. Risikovurderinger gjennomføres årlig på institutt-, fakultets- og virksomhetsnivå i samsvar med DFØs veiledere for risikostyring og virksomhetens interne hovedregler for virksomhets- og økonomiforvaltning.</w:t>
        <w:br/>
        <w:br/>
        <w:t>Systemet for internkontroll er forankret i Reglement for økonomistyring i staten § 14 og Bestemmelsene kapittel 2.4/2.5. Prosessen er dynamisk og oppdateres løpende i forbindelse med den tertialvise resultatoppfølgingen og styringsdialogen med linjeledelsen.</w:t>
      </w:r>
    </w:p>
    <w:p>
      <w:pPr>
        <w:keepNext/>
        <w:spacing w:before="240" w:after="80"/>
      </w:pPr>
      <w:r>
        <w:rPr>
          <w:rFonts w:ascii="Calibri" w:hAnsi="Calibri"/>
          <w:b/>
          <w:color w:val="4472C4"/>
          <w:sz w:val="25"/>
        </w:rPr>
        <w:t>2. Overordnet vurdering av de største risikoområdene</w:t>
      </w:r>
    </w:p>
    <w:p>
      <w:r>
        <w:t>Gjennomførte risikovurderinger i regnskapsåret viser at virksomhetens samlede risikobilde er under forsvarlig kontroll. De viktigste identifiserte risikoområdene og iverksatte tiltak oppsummeres nedenfor: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592"/>
            <w:shd w:fill="2F5496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40"/>
            </w:pPr>
            <w:r>
              <w:rPr>
                <w:b/>
                <w:color w:val="FFFFFF"/>
                <w:sz w:val="20"/>
              </w:rPr>
              <w:t>Identifisert risikoområde</w:t>
            </w:r>
          </w:p>
        </w:tc>
        <w:tc>
          <w:tcPr>
            <w:tcW w:type="dxa" w:w="1872"/>
            <w:shd w:fill="2F5496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40"/>
            </w:pPr>
            <w:r>
              <w:rPr>
                <w:b/>
                <w:color w:val="FFFFFF"/>
                <w:sz w:val="20"/>
              </w:rPr>
              <w:t>Risikonivå (S × K)</w:t>
            </w:r>
          </w:p>
        </w:tc>
        <w:tc>
          <w:tcPr>
            <w:tcW w:type="dxa" w:w="4896"/>
            <w:shd w:fill="2F5496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40"/>
            </w:pPr>
            <w:r>
              <w:rPr>
                <w:b/>
                <w:color w:val="FFFFFF"/>
                <w:sz w:val="20"/>
              </w:rPr>
              <w:t>Korrigerende tiltak og status</w:t>
            </w:r>
          </w:p>
        </w:tc>
      </w:tr>
      <w:tr>
        <w:tc>
          <w:tcPr>
            <w:tcW w:type="dxa" w:w="259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40"/>
            </w:pPr>
            <w:r>
              <w:rPr>
                <w:sz w:val="19"/>
              </w:rPr>
              <w:t>Kalkylesvikt og overhead-dekning i BOA-prosjekter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40"/>
            </w:pPr>
            <w:r>
              <w:rPr>
                <w:sz w:val="19"/>
              </w:rPr>
              <w:t>🟡 Gul (3 × 3 = 9)</w:t>
              <w:br/>
              <w:t>Middels risiko</w:t>
            </w:r>
          </w:p>
        </w:tc>
        <w:tc>
          <w:tcPr>
            <w:tcW w:type="dxa" w:w="489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40"/>
            </w:pPr>
            <w:r>
              <w:rPr>
                <w:sz w:val="19"/>
              </w:rPr>
              <w:t>Obligatorisk controller-kontroll av TDI-kalkyler før søknadssending, skriftlig godkjenning fra instituttleder (BAO) og månedlig oppfølging av dekningsgrad.</w:t>
            </w:r>
          </w:p>
        </w:tc>
      </w:tr>
      <w:tr>
        <w:tc>
          <w:tcPr>
            <w:tcW w:type="dxa" w:w="2592"/>
            <w:shd w:fill="F9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40"/>
            </w:pPr>
            <w:r>
              <w:rPr>
                <w:sz w:val="19"/>
              </w:rPr>
              <w:t>Timeregistrering og EUs 215-dagersregel i Horisont Europa</w:t>
            </w:r>
          </w:p>
        </w:tc>
        <w:tc>
          <w:tcPr>
            <w:tcW w:type="dxa" w:w="1872"/>
            <w:shd w:fill="F9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40"/>
            </w:pPr>
            <w:r>
              <w:rPr>
                <w:sz w:val="19"/>
              </w:rPr>
              <w:t>🟡 Gul (2 × 4 = 8)</w:t>
              <w:br/>
              <w:t>Særlig revisjonsfokus</w:t>
            </w:r>
          </w:p>
        </w:tc>
        <w:tc>
          <w:tcPr>
            <w:tcW w:type="dxa" w:w="4896"/>
            <w:shd w:fill="F9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40"/>
            </w:pPr>
            <w:r>
              <w:rPr>
                <w:sz w:val="19"/>
              </w:rPr>
              <w:t>Innføring av månedlig elektronisk timeliste, automatisk påminnelse og kontrollskjema for controller før prosjektføring og refusjonskrav.</w:t>
            </w:r>
          </w:p>
        </w:tc>
      </w:tr>
      <w:tr>
        <w:tc>
          <w:tcPr>
            <w:tcW w:type="dxa" w:w="259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40"/>
            </w:pPr>
            <w:r>
              <w:rPr>
                <w:sz w:val="19"/>
              </w:rPr>
              <w:t>Etterlevelse av BDM og funksjonsskille (To-manns-prinsipp)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40"/>
            </w:pPr>
            <w:r>
              <w:rPr>
                <w:sz w:val="19"/>
              </w:rPr>
              <w:t>🟢 Grønn (1 × 4 = 4)</w:t>
              <w:br/>
              <w:t>Lav sannsynlighet</w:t>
            </w:r>
          </w:p>
        </w:tc>
        <w:tc>
          <w:tcPr>
            <w:tcW w:type="dxa" w:w="489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40"/>
            </w:pPr>
            <w:r>
              <w:rPr>
                <w:sz w:val="19"/>
              </w:rPr>
              <w:t>Strenge systemtekniske sperrer i økonomisystemet mot egenattestasjon, årlig revisjon av fullmaktsmatrisen og uavhengig bankautorisasjon.</w:t>
            </w:r>
          </w:p>
        </w:tc>
      </w:tr>
    </w:tbl>
    <w:p>
      <w:pPr>
        <w:spacing w:after="200"/>
      </w:pPr>
    </w:p>
    <w:p>
      <w:pPr>
        <w:keepNext/>
        <w:spacing w:before="240" w:after="80"/>
      </w:pPr>
      <w:r>
        <w:rPr>
          <w:rFonts w:ascii="Calibri" w:hAnsi="Calibri"/>
          <w:b/>
          <w:color w:val="4472C4"/>
          <w:sz w:val="25"/>
        </w:rPr>
        <w:t>3. Styrets samlede vurdering av internkontrollen</w:t>
      </w:r>
    </w:p>
    <w:p>
      <w:r>
        <w:t>Universitetsstyret har behandlet virksomhetens risikovurdering og rapportering om internkontroll. På bakgrunn av den gjennomførte rapporteringen og controllerorganisasjonens kontrollhandlinger vurderer styret at virksomhetens opplegg for styring og kontroll i regnskapsåret har vært tilstrekkelig og forsvarlig anordnet til å gi rimelig sikkerhet for at:</w:t>
        <w:br/>
      </w:r>
    </w:p>
    <w:p>
      <w:pPr>
        <w:pStyle w:val="ListBullet"/>
        <w:spacing w:after="60"/>
      </w:pPr>
      <w:r>
        <w:rPr>
          <w:sz w:val="21"/>
        </w:rPr>
        <w:t>Fastsatte mål, resultatkrav og samfunnsoppdrag nås i henhold til tildelingsbrevet.</w:t>
      </w:r>
    </w:p>
    <w:p>
      <w:pPr>
        <w:pStyle w:val="ListBullet"/>
        <w:spacing w:after="60"/>
      </w:pPr>
      <w:r>
        <w:rPr>
          <w:sz w:val="21"/>
        </w:rPr>
        <w:t>Ressursbruken er effektiv, økonomisk forsvarlig og i samsvar med Stortingets vedtak.</w:t>
      </w:r>
    </w:p>
    <w:p>
      <w:pPr>
        <w:pStyle w:val="ListBullet"/>
        <w:spacing w:after="60"/>
      </w:pPr>
      <w:r>
        <w:rPr>
          <w:sz w:val="21"/>
        </w:rPr>
        <w:t>Gjeldende lover, instrukser, SRS-standarder og statlig regelverk overholdes fullt ut.</w:t>
      </w:r>
    </w:p>
    <w:p>
      <w:pPr>
        <w:pStyle w:val="ListBullet"/>
        <w:spacing w:after="60"/>
      </w:pPr>
      <w:r>
        <w:rPr>
          <w:sz w:val="21"/>
        </w:rPr>
        <w:t>Resultat- og regnskapsinformasjonen er relevant, nøyaktig og gir et rettvisende bilde.</w:t>
      </w:r>
    </w:p>
    <w:p>
      <w:pPr>
        <w:pStyle w:val="ListBullet"/>
        <w:spacing w:after="60"/>
      </w:pPr>
      <w:r>
        <w:rPr>
          <w:sz w:val="21"/>
        </w:rPr>
        <w:t>Vesentlig styringssvikt, misligheter og feilutbetalinger forebygges, avdekkes og håndteres fortløpende.</w:t>
      </w:r>
    </w:p>
    <w:p>
      <w:pPr>
        <w:pStyle w:val="ListBullet"/>
        <w:spacing w:after="60"/>
      </w:pPr>
      <w:r>
        <w:rPr>
          <w:sz w:val="21"/>
        </w:rPr>
        <w:t>Internkontrollen er skriftlig dokumentert i virksomhetens styringssystemer og controllerhåndbok.</w:t>
      </w:r>
    </w:p>
    <w:p>
      <w:pPr>
        <w:keepNext/>
        <w:spacing w:before="240" w:after="80"/>
      </w:pPr>
      <w:r>
        <w:rPr>
          <w:rFonts w:ascii="Calibri" w:hAnsi="Calibri"/>
          <w:b/>
          <w:color w:val="4472C4"/>
          <w:sz w:val="25"/>
        </w:rPr>
        <w:t>4. Oppfølging av merknader fra Riksrevisjonen</w:t>
      </w:r>
    </w:p>
    <w:p>
      <w:r>
        <w:t>Virksomheten har fulgt opp alle tidligere forhold og merknader fra Riksrevisjonen i henhold til gjeldende handlingsplaner. [Dersom aktuelt: Det foreligger ingen ubesvarte merknader eller åpne revisjonssaker fra Riksrevisjonen for regnskapsåret.]</w:t>
      </w:r>
    </w:p>
    <w:p>
      <w:pPr>
        <w:keepNext/>
        <w:spacing w:before="320" w:after="120"/>
      </w:pPr>
      <w:r>
        <w:rPr>
          <w:rFonts w:ascii="Calibri" w:hAnsi="Calibri"/>
          <w:b/>
          <w:color w:val="2F5496"/>
          <w:sz w:val="30"/>
        </w:rPr>
        <w:t>Del 2: Rapportering på andre forutsetninger og krav</w:t>
      </w:r>
    </w:p>
    <w:p>
      <w:pPr>
        <w:keepNext/>
        <w:spacing w:before="240" w:after="80"/>
      </w:pPr>
      <w:r>
        <w:rPr>
          <w:rFonts w:ascii="Calibri" w:hAnsi="Calibri"/>
          <w:b/>
          <w:color w:val="4472C4"/>
          <w:sz w:val="25"/>
        </w:rPr>
        <w:t>1. Fellesføringer og felleskrav fra Kunnskapsdepartementet</w:t>
      </w:r>
    </w:p>
    <w:p>
      <w:r>
        <w:t>Virksomheten har fulgt opp fellesføringene og de tverrgående kravene gitt i tildelingsbrevets del 4. Dette omfatter bl.a. arbeid med mangfold og likestilling (Gender Equality Plan), lærlinger i staten, effektivisering av administrative støttetjenester og bærekraft i offentlige anskaffelser.</w:t>
      </w:r>
    </w:p>
    <w:p>
      <w:pPr>
        <w:keepNext/>
        <w:spacing w:before="240" w:after="80"/>
      </w:pPr>
      <w:r>
        <w:rPr>
          <w:rFonts w:ascii="Calibri" w:hAnsi="Calibri"/>
          <w:b/>
          <w:color w:val="4472C4"/>
          <w:sz w:val="25"/>
        </w:rPr>
        <w:t>2. Større byggeprosjekter under utvikling</w:t>
      </w:r>
    </w:p>
    <w:p>
      <w:r>
        <w:t>Oversikt over større byggeprosjekter og campusutvikling med forventet investeringsramme over 300 mill. kroner:</w:t>
        <w:br/>
        <w:br/>
        <w:t>• [Prosjektnavn 1]: Redegjørelse for prosjektets framdrift, forventet ferdigstilling, kostnadsramme og styringsdialog med Statsbygg og KD.</w:t>
        <w:br/>
        <w:t>• [Prosjektnavn 2]: Status for konseptvalgutredning (KVU) og forprosjektering.</w:t>
      </w:r>
    </w:p>
    <w:p>
      <w:pPr>
        <w:keepNext/>
        <w:spacing w:before="240" w:after="80"/>
      </w:pPr>
      <w:r>
        <w:rPr>
          <w:rFonts w:ascii="Calibri" w:hAnsi="Calibri"/>
          <w:b/>
          <w:color w:val="4472C4"/>
          <w:sz w:val="25"/>
        </w:rPr>
        <w:t>3. Oppfølging av Strategi for digital omstilling</w:t>
      </w:r>
    </w:p>
    <w:p>
      <w:r>
        <w:t>Virksomheten følger opp den nasjonale digitaliseringsstrategien for UH-sektoren i nært samarbeid med Sikt, HK-dir og sektoren for øvrig. I regnskapsåret er det gjennomført tiltak knyttet til forbedret informasjons- og cybersikkerhet, skytransformasjon og automatisering av administrative saksbehandlingsprosesser.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2F4F8"/>
            <w:tcMar>
              <w:top w:w="120" w:type="dxa"/>
              <w:bottom w:w="120" w:type="dxa"/>
              <w:left w:w="180" w:type="dxa"/>
              <w:right w:w="180" w:type="dxa"/>
            </w:tcMar>
            <w:tcBorders>
              <w:top w:val="none"/>
              <w:left w:val="single" w:sz="24" w:space="0" w:color="2F5496"/>
              <w:bottom w:val="none"/>
              <w:right w:val="none"/>
            </w:tcBorders>
          </w:tcPr>
          <w:p>
            <w:pPr>
              <w:spacing w:after="80"/>
            </w:pPr>
            <w:r>
              <w:rPr>
                <w:b/>
                <w:color w:val="2F5496"/>
                <w:sz w:val="21"/>
              </w:rPr>
              <w:t>📌 Veiledning til styrebehandling og ferdigstilling</w:t>
              <w:br/>
            </w:r>
            <w:r>
              <w:rPr>
                <w:i/>
                <w:sz w:val="20"/>
              </w:rPr>
              <w:t>Denne malen tilpasses virksomhetens faktiske risikobilde før den legges fram for Universitetsstyret. Årsrapportens Del IV utgjør sammen med årsregnskapet (SRS) det primære rapporteringsgrunnlaget overfor Kunnskapsdepartementet og Riksrevisjonen.</w:t>
            </w:r>
          </w:p>
        </w:tc>
      </w:tr>
    </w:tbl>
    <w:p>
      <w:pPr>
        <w:spacing w:after="12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787878"/>
        <w:sz w:val="18"/>
      </w:rPr>
      <w:t xml:space="preserve">Side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/>
        <w:color w:val="787878"/>
        <w:sz w:val="17"/>
      </w:rPr>
      <w:t>Årsrapportens Del IV — Mal for Styring og Kontroll | Statlig UH-virksomhet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20"/>
    </w:pPr>
    <w:rPr>
      <w:rFonts w:ascii="Calibri" w:hAnsi="Calibri"/>
      <w:color w:val="333333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