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2F5496"/>
          <w:sz w:val="44"/>
        </w:rPr>
        <w:t>Håndtering av Agio og Disagio i EU Horisont Europa-prosjekter</w:t>
      </w:r>
    </w:p>
    <w:p>
      <w:pPr>
        <w:spacing w:after="360"/>
      </w:pPr>
      <w:r>
        <w:rPr>
          <w:rFonts w:ascii="Arial" w:hAnsi="Arial"/>
          <w:i/>
          <w:color w:val="595959"/>
          <w:sz w:val="26"/>
        </w:rPr>
        <w:t>Regnskapsmessig behandling av valutaavvik etter Statlige RegnskapsStandarder (SRS 1, SRS 2, SRS 10) og Statens kontoplan (R-102)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2F2F2" w:val="clear"/>
          </w:tcPr>
          <w:p>
            <w:pPr>
              <w:spacing w:after="40"/>
            </w:pPr>
            <w:r>
              <w:rPr>
                <w:b/>
                <w:sz w:val="19"/>
              </w:rPr>
              <w:t>Dokumenttype / ID:</w:t>
            </w:r>
          </w:p>
        </w:tc>
        <w:tc>
          <w:tcPr>
            <w:tcW w:type="dxa" w:w="6192"/>
            <w:shd w:fill="F9F9F9" w:val="clear"/>
          </w:tcPr>
          <w:p>
            <w:pPr>
              <w:spacing w:after="40"/>
            </w:pPr>
            <w:r>
              <w:rPr>
                <w:sz w:val="19"/>
              </w:rPr>
              <w:t>Fagnotat / VAL-EUG-2026-001</w:t>
            </w:r>
          </w:p>
        </w:tc>
      </w:tr>
      <w:tr>
        <w:tc>
          <w:tcPr>
            <w:tcW w:type="dxa" w:w="3168"/>
            <w:shd w:fill="F2F2F2" w:val="clear"/>
          </w:tcPr>
          <w:p>
            <w:pPr>
              <w:spacing w:after="40"/>
            </w:pPr>
            <w:r>
              <w:rPr>
                <w:b/>
                <w:sz w:val="19"/>
              </w:rPr>
              <w:t>Målgruppe:</w:t>
            </w:r>
          </w:p>
        </w:tc>
        <w:tc>
          <w:tcPr>
            <w:tcW w:type="dxa" w:w="6192"/>
            <w:shd w:fill="F9F9F9" w:val="clear"/>
          </w:tcPr>
          <w:p>
            <w:pPr>
              <w:spacing w:after="40"/>
            </w:pPr>
            <w:r>
              <w:rPr>
                <w:sz w:val="19"/>
              </w:rPr>
              <w:t>Prosjektledere (PL), Økonomicontrollere, Regnskapsførere og BAO-ledere</w:t>
            </w:r>
          </w:p>
        </w:tc>
      </w:tr>
      <w:tr>
        <w:tc>
          <w:tcPr>
            <w:tcW w:type="dxa" w:w="3168"/>
            <w:shd w:fill="F2F2F2" w:val="clear"/>
          </w:tcPr>
          <w:p>
            <w:pPr>
              <w:spacing w:after="40"/>
            </w:pPr>
            <w:r>
              <w:rPr>
                <w:b/>
                <w:sz w:val="19"/>
              </w:rPr>
              <w:t>Regelverksforankring:</w:t>
            </w:r>
          </w:p>
        </w:tc>
        <w:tc>
          <w:tcPr>
            <w:tcW w:type="dxa" w:w="6192"/>
            <w:shd w:fill="F9F9F9" w:val="clear"/>
          </w:tcPr>
          <w:p>
            <w:pPr>
              <w:spacing w:after="40"/>
            </w:pPr>
            <w:r>
              <w:rPr>
                <w:sz w:val="19"/>
              </w:rPr>
              <w:t>SRS 1, SRS 2, SRS 10 pkt. 23, Reglement for økonomistyring § 3.6.3 og R-102</w:t>
            </w:r>
          </w:p>
        </w:tc>
      </w:tr>
      <w:tr>
        <w:tc>
          <w:tcPr>
            <w:tcW w:type="dxa" w:w="3168"/>
            <w:shd w:fill="F2F2F2" w:val="clear"/>
          </w:tcPr>
          <w:p>
            <w:pPr>
              <w:spacing w:after="40"/>
            </w:pPr>
            <w:r>
              <w:rPr>
                <w:b/>
                <w:sz w:val="19"/>
              </w:rPr>
              <w:t>Dato / Status:</w:t>
            </w:r>
          </w:p>
        </w:tc>
        <w:tc>
          <w:tcPr>
            <w:tcW w:type="dxa" w:w="6192"/>
            <w:shd w:fill="F9F9F9" w:val="clear"/>
          </w:tcPr>
          <w:p>
            <w:pPr>
              <w:spacing w:after="40"/>
            </w:pPr>
            <w:r>
              <w:rPr>
                <w:sz w:val="19"/>
              </w:rPr>
              <w:t>5. oktober 2026 / Fastsatt retningslinje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hAnsi="Arial"/>
          <w:b/>
          <w:color w:val="2F5496"/>
          <w:sz w:val="32"/>
        </w:rPr>
        <w:t>1. Innledning og Rettslig Rammeverk</w:t>
      </w:r>
    </w:p>
    <w:p>
      <w:r>
        <w:t>Deltakelse i Europakommisjonens rammeprogram Horisont Europa innebærer at alle budsjetter, kostnadsdeklarasjoner og utbetalinger gjennomføres i Euro (EUR). Norske statlige universiteter og høyskoler fører imidlertid sitt offisielle virksomhets- og statsregnskap i norske kroner (NOK). Dette skaper en løpende eksponering for valutarisiko (agio og disagio).</w:t>
      </w:r>
    </w:p>
    <w:p>
      <w:r>
        <w:t>Hovedprinsippene for valutahåndtering reguleres av følgende rammebetingelser:</w:t>
      </w:r>
    </w:p>
    <w:p>
      <w:pPr>
        <w:pStyle w:val="ListBullet"/>
      </w:pPr>
      <w:r>
        <w:rPr>
          <w:b/>
        </w:rPr>
        <w:t xml:space="preserve">EUs Grant Agreement (GA): </w:t>
      </w:r>
      <w:r>
        <w:t>Europakommisjonen refunderer utelukkende faktiske godkjente prosjektkostnader. Valutatap (disagio) og finansielle gebyrer er uttrykkelig definert som ikke-refunderbare kostnader (non-eligible costs) og dekkes ikke av EU.</w:t>
      </w:r>
    </w:p>
    <w:p>
      <w:pPr>
        <w:pStyle w:val="ListBullet"/>
      </w:pPr>
      <w:r>
        <w:rPr>
          <w:b/>
        </w:rPr>
        <w:t xml:space="preserve">Reglement for økonomistyring i staten § 3.6.3: </w:t>
      </w:r>
      <w:r>
        <w:t>Statlige virksomheter som forvalter EU-midler kan opprette egne valutakontoer i utenlandsk valuta (EUR) i banker som Direktoratet for forvaltning og økonomistyring (DFØ) har inngått rammeavtale med. Midlene på valutakonto inngår i mellomværendet med statskassen.</w:t>
      </w:r>
    </w:p>
    <w:p>
      <w:pPr>
        <w:pStyle w:val="ListBullet"/>
      </w:pPr>
      <w:r>
        <w:rPr>
          <w:b/>
        </w:rPr>
        <w:t xml:space="preserve">Statlige RegnskapsStandarder (SRS 2 &amp; SRS 10): </w:t>
      </w:r>
      <w:r>
        <w:t>Transaksjoner i utenlandsk valuta skal omregnes til NOK etter kursen på betalingstidspunktet eller transaksjonstidspunktet. Valutagevinst (agio) og valutatap (disagio) skal resultatføres som henholdsvis finansinntekt og finanskostnad.</w:t>
      </w:r>
    </w:p>
    <w:p>
      <w:pPr>
        <w:pStyle w:val="Heading1"/>
      </w:pPr>
      <w:r>
        <w:rPr>
          <w:rFonts w:ascii="Arial" w:hAnsi="Arial"/>
          <w:b/>
          <w:color w:val="2F5496"/>
          <w:sz w:val="32"/>
        </w:rPr>
        <w:t>2. Definisjon av Agio og Disagio i Prosjektregnskapet</w:t>
      </w:r>
    </w:p>
    <w:p>
      <w:r>
        <w:t>Når et prosjekt finansieres i EUR og kostnadene påløper i NOK, oppstår det valutadifferanser basert på kursbevegelser mellom NOK og EUR: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Begrep</w:t>
            </w:r>
          </w:p>
        </w:tc>
        <w:tc>
          <w:tcPr>
            <w:tcW w:type="dxa" w:w="3168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Endring i Valutakurs</w:t>
            </w:r>
          </w:p>
        </w:tc>
        <w:tc>
          <w:tcPr>
            <w:tcW w:type="dxa" w:w="4032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Regnskapsmessig &amp; Økonomisk Effekt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9"/>
              </w:rPr>
              <w:t>Agio (Valutagevinst)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EUR styrker seg mot NOK</w:t>
              <w:br/>
              <w:t>(f.eks. fra 11,00 til 12,00 NOK/EUR)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Mottatt EU-tilskudd gir flere NOK i regnskapet enn opprinnelig budsjettert. Føres på konto 806 Valutagevinst.</w:t>
            </w:r>
          </w:p>
        </w:tc>
      </w:tr>
      <w:tr>
        <w:tc>
          <w:tcPr>
            <w:tcW w:type="dxa" w:w="2160"/>
            <w:shd w:fill="F2F2F2" w:val="clear"/>
          </w:tcPr>
          <w:p>
            <w:pPr>
              <w:spacing w:after="40"/>
            </w:pPr>
            <w:r>
              <w:rPr>
                <w:b/>
                <w:sz w:val="19"/>
              </w:rPr>
              <w:t>Disagio (Valutatap)</w:t>
            </w:r>
          </w:p>
        </w:tc>
        <w:tc>
          <w:tcPr>
            <w:tcW w:type="dxa" w:w="3168"/>
            <w:shd w:fill="F2F2F2" w:val="clear"/>
          </w:tcPr>
          <w:p>
            <w:pPr>
              <w:spacing w:after="40"/>
            </w:pPr>
            <w:r>
              <w:rPr>
                <w:sz w:val="19"/>
              </w:rPr>
              <w:t>EUR svekker seg mot NOK</w:t>
              <w:br/>
              <w:t>(f.eks. fra 12,00 til 11,00 NOK/EUR)</w:t>
            </w:r>
          </w:p>
        </w:tc>
        <w:tc>
          <w:tcPr>
            <w:tcW w:type="dxa" w:w="4032"/>
            <w:shd w:fill="F2F2F2" w:val="clear"/>
          </w:tcPr>
          <w:p>
            <w:pPr>
              <w:spacing w:after="40"/>
            </w:pPr>
            <w:r>
              <w:rPr>
                <w:sz w:val="19"/>
              </w:rPr>
              <w:t>Mottatt EU-tilskudd gir færre NOK til å dekke norske lønns- og driftskostnader. Føres på konto 816 Valutatap.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hAnsi="Arial"/>
          <w:b/>
          <w:color w:val="2F5496"/>
          <w:sz w:val="32"/>
        </w:rPr>
        <w:t>3. Kontering i Statens Kontoplan (R-102)</w:t>
      </w:r>
    </w:p>
    <w:p>
      <w:r>
        <w:t>Regnskapsføring av valutaavvik skal skje fortløpende i henhold til Finansdepartementets rundskriv R-102: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2F5496" w:val="clear"/>
          </w:tcPr>
          <w:p>
            <w:r>
              <w:rPr>
                <w:b/>
                <w:color w:val="FFFFFF"/>
                <w:sz w:val="20"/>
              </w:rPr>
              <w:t>Konto (R-102)</w:t>
            </w:r>
          </w:p>
        </w:tc>
        <w:tc>
          <w:tcPr>
            <w:tcW w:type="dxa" w:w="3312"/>
            <w:shd w:fill="2F5496" w:val="clear"/>
          </w:tcPr>
          <w:p>
            <w:r>
              <w:rPr>
                <w:b/>
                <w:color w:val="FFFFFF"/>
                <w:sz w:val="20"/>
              </w:rPr>
              <w:t>Kontonavn</w:t>
            </w:r>
          </w:p>
        </w:tc>
        <w:tc>
          <w:tcPr>
            <w:tcW w:type="dxa" w:w="4320"/>
            <w:shd w:fill="2F5496" w:val="clear"/>
          </w:tcPr>
          <w:p>
            <w:r>
              <w:rPr>
                <w:b/>
                <w:color w:val="FFFFFF"/>
                <w:sz w:val="20"/>
              </w:rPr>
              <w:t>Anvendelse i EU-prosjekter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9"/>
              </w:rPr>
              <w:t>192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  <w:t>Bankinnskudd utenlandsk valuta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Debiteres/krediteres ved inn- og utbetalinger på DFØs valutakonto i EUR. Omregnes til balansedagens kurs 31.12.</w:t>
            </w:r>
          </w:p>
        </w:tc>
      </w:tr>
      <w:tr>
        <w:tc>
          <w:tcPr>
            <w:tcW w:type="dxa" w:w="1728"/>
            <w:shd w:fill="F2F2F2" w:val="clear"/>
          </w:tcPr>
          <w:p>
            <w:pPr>
              <w:spacing w:after="40"/>
            </w:pPr>
            <w:r>
              <w:rPr>
                <w:b/>
                <w:sz w:val="19"/>
              </w:rPr>
              <w:t>806</w:t>
            </w:r>
          </w:p>
        </w:tc>
        <w:tc>
          <w:tcPr>
            <w:tcW w:type="dxa" w:w="3312"/>
            <w:shd w:fill="F2F2F2" w:val="clear"/>
          </w:tcPr>
          <w:p>
            <w:pPr>
              <w:spacing w:after="40"/>
            </w:pPr>
            <w:r>
              <w:rPr>
                <w:sz w:val="19"/>
              </w:rPr>
              <w:t>Valutagevinst (agio)</w:t>
            </w:r>
          </w:p>
        </w:tc>
        <w:tc>
          <w:tcPr>
            <w:tcW w:type="dxa" w:w="4320"/>
            <w:shd w:fill="F2F2F2" w:val="clear"/>
          </w:tcPr>
          <w:p>
            <w:pPr>
              <w:spacing w:after="40"/>
            </w:pPr>
            <w:r>
              <w:rPr>
                <w:sz w:val="19"/>
              </w:rPr>
              <w:t>Krediteres ved urealisert/realisert valutagevinst i resultatregnskapet. Øker virksomhetens finansresultat.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9"/>
              </w:rPr>
              <w:t>816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  <w:t>Valutatap (disagio)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Debiteres ved urealisert/realisert valutatap og bankgebyrer ved veksling. Må dekkes over enhetens bevilgningsramme.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hAnsi="Arial"/>
          <w:b/>
          <w:color w:val="2F5496"/>
          <w:sz w:val="32"/>
        </w:rPr>
        <w:t>4. Skjerming av Valutarisiko ved Koordinatorrollen (konto 250)</w:t>
      </w:r>
    </w:p>
    <w:p>
      <w:r>
        <w:t xml:space="preserve">Når universitetet er koordinator for et EU-konsortium, mottas store forskuddsbeløp som skal videreformidles til eksterne internasjonale partnere. For å unngå at svingninger i EUR/NOK påvirker universitetets resultatregnskap, krever </w:t>
      </w:r>
      <w:r>
        <w:rPr>
          <w:b/>
        </w:rPr>
        <w:t>SRS 10 pkt. 23</w:t>
      </w:r>
      <w:r>
        <w:t xml:space="preserve"> og </w:t>
      </w:r>
      <w:r>
        <w:rPr>
          <w:b/>
        </w:rPr>
        <w:t>Reglementet § 3.6.3</w:t>
      </w:r>
      <w:r>
        <w:t xml:space="preserve"> at partnernes midler holdes atskilt i balansen:</w:t>
      </w:r>
    </w:p>
    <w:p>
      <w:pPr>
        <w:pStyle w:val="ListBullet"/>
      </w:pPr>
      <w:r>
        <w:rPr>
          <w:b/>
        </w:rPr>
        <w:t xml:space="preserve">Oppbevaring i EUR: </w:t>
      </w:r>
      <w:r>
        <w:t>Midler til eksterne partnere skal oppbevares på EUR-valutakonto (konto 192) og balanseføres som kortsiktig gjeld på konto 250 Gjeld ved tilskuddsforvaltning.</w:t>
      </w:r>
    </w:p>
    <w:p>
      <w:pPr>
        <w:pStyle w:val="ListBullet"/>
      </w:pPr>
      <w:r>
        <w:rPr>
          <w:b/>
        </w:rPr>
        <w:t xml:space="preserve">Ingen resultatføring: </w:t>
      </w:r>
      <w:r>
        <w:t>Når partnernes andel utbetales i EUR direkte fra valutakontoen til partnernes EUR-bankkontoer, oppstår det verken agio eller disagio i universitetets resultatregnskap.</w:t>
      </w:r>
    </w:p>
    <w:p>
      <w:pPr>
        <w:pStyle w:val="ListBullet"/>
      </w:pPr>
      <w:r>
        <w:rPr>
          <w:b/>
        </w:rPr>
        <w:t xml:space="preserve">Eliminering av valutarisiko: </w:t>
      </w:r>
      <w:r>
        <w:t>Ved å holde partnermidlene 100 % i EUR frem til utbetaling nøytraliseres valutarisikoen for koordinatorrollen fullstendig.</w:t>
      </w:r>
    </w:p>
    <w:p>
      <w:pPr>
        <w:pStyle w:val="Heading1"/>
      </w:pPr>
      <w:r>
        <w:rPr>
          <w:rFonts w:ascii="Arial" w:hAnsi="Arial"/>
          <w:b/>
          <w:color w:val="2F5496"/>
          <w:sz w:val="32"/>
        </w:rPr>
        <w:t>5. Håndtering av Disagio og Tapsavsetning på Prosjektnivå</w:t>
      </w:r>
    </w:p>
    <w:p>
      <w:r>
        <w:t>Dersom den norske kronen styrker seg kraftig i løpet av prosjektperioden (EUR svekker seg), vil den utbetalte støtten i NOK bli lavere enn det opprinnelige prosjektbudsjettet. Siden EUs maksimalbeløp er låst i EUR i Grant Agreement, oppstår et reelt finansieringsgap.</w:t>
      </w:r>
    </w:p>
    <w:p>
      <w:r>
        <w:t>Prosjektleder og controller skal ved hver tertialrapportering følge denne oppfølgingsrutinen:</w:t>
      </w:r>
    </w:p>
    <w:p>
      <w:r>
        <w:rPr>
          <w:b/>
        </w:rPr>
        <w:t xml:space="preserve">1. Oppdatere valutasensitive prognoser: </w:t>
      </w:r>
      <w:r>
        <w:t>Beregn gjenstående prosjektkostnader i NOK mot forventet utbetaling fra EU omregnet til gjeldende valutakurs.</w:t>
      </w:r>
    </w:p>
    <w:p>
      <w:r>
        <w:rPr>
          <w:b/>
        </w:rPr>
        <w:t xml:space="preserve">2. Vurdere dekning over enhetens ramme: </w:t>
      </w:r>
      <w:r>
        <w:t>Dersom disagio medfører at prosjektet går med underskudd (fordi lønns- og driftskostnadene i NOK overskrider refunderbart beløp), må instituttleder/dekan skriftlig godkjenne dekning av avviket.</w:t>
      </w:r>
    </w:p>
    <w:p>
      <w:r>
        <w:rPr>
          <w:b/>
        </w:rPr>
        <w:t xml:space="preserve">3. Føre umiddelbar tapsavsetning (konto 786): </w:t>
      </w:r>
      <w:r>
        <w:t>Dersom et sluttunderskudd på grunn av valutatap er sannsynlig, skal det i henhold til SRS 10 pkt. 22 umiddelbart føres avsetning for forventet tap: Debet 786 Tap på kontrakter / Kredit 298 Avsetning for forpliktelser.</w:t>
      </w:r>
    </w:p>
    <w:p>
      <w:pPr>
        <w:pStyle w:val="Heading1"/>
      </w:pPr>
      <w:r>
        <w:rPr>
          <w:rFonts w:ascii="Arial" w:hAnsi="Arial"/>
          <w:b/>
          <w:color w:val="2F5496"/>
          <w:sz w:val="32"/>
        </w:rPr>
        <w:t>6. Månedlig Avstemmings- og Kontrollrutine for Valutakonto</w:t>
      </w:r>
    </w:p>
    <w:p>
      <w:r>
        <w:t>For å sikre korrekt regnskapsrapportering og etterlevelse av Riksrevisjonens krav skal følgende kontrollrutine utføres månedlig:</w:t>
      </w:r>
    </w:p>
    <w:p>
      <w:pPr>
        <w:pStyle w:val="ListBullet"/>
      </w:pPr>
      <w:r>
        <w:t xml:space="preserve"> Månedlig bankavstemming av konto 192 (EUR) mot kontoutskrift fra DFØs avtalebank.</w:t>
      </w:r>
    </w:p>
    <w:p>
      <w:pPr>
        <w:pStyle w:val="ListBullet"/>
      </w:pPr>
      <w:r>
        <w:t xml:space="preserve"> Månedlig avstemming av konto 250 (partneres midler) per partner og prosjekt.</w:t>
      </w:r>
    </w:p>
    <w:p>
      <w:pPr>
        <w:pStyle w:val="ListBullet"/>
      </w:pPr>
      <w:r>
        <w:t xml:space="preserve"> Vurdering og føring av urealisert agio/disagio ved utarbeidelse av årsregnskap per 31.12 ihht. Norges Banks offisielle kurs på balansedagen.</w:t>
      </w:r>
    </w:p>
    <w:p>
      <w:pPr>
        <w:pStyle w:val="ListBullet"/>
      </w:pPr>
      <w:r>
        <w:t xml:space="preserve"> Arkivering av valutakursdokumentasjon i prosjektarkivet for å ivareta 10-års kravet til revisjonsspor (audit trail).</w:t>
      </w:r>
    </w:p>
    <w:p>
      <w:pPr>
        <w:spacing w:after="360"/>
      </w:pPr>
    </w:p>
    <w:p>
      <w:r>
        <w:rPr>
          <w:i/>
        </w:rPr>
        <w:t>Retningslinje fastsatt for økonomicontroll og prosjektforvaltning ved virksomheten.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</w:tcPr>
          <w:p>
            <w:r>
              <w:rPr>
                <w:b/>
              </w:rPr>
              <w:t>_____________________________________</w:t>
              <w:br/>
              <w:t>Økonomi- og campusdirektør</w:t>
            </w:r>
          </w:p>
        </w:tc>
        <w:tc>
          <w:tcPr>
            <w:tcW w:type="dxa" w:w="4752"/>
          </w:tcPr>
          <w:p>
            <w:r>
              <w:rPr>
                <w:b/>
              </w:rPr>
              <w:t>_____________________________________</w:t>
              <w:br/>
              <w:t>Seksjonssjef for prosjektøkonomi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8"/>
      </w:rPr>
      <w:t xml:space="preserve">Side </w:t>
    </w:r>
    <w:fldChar w:fldCharType="begin"/>
    <w:instrText xml:space="preserve">PAGE</w:instrText>
    <w:fldChar w:fldCharType="separate"/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808080"/>
        <w:sz w:val="17"/>
      </w:rPr>
      <w:t>Notat: Agio og Disagio i EU Horisont Europa-prosjekter | Statlig Økonomistyring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