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F5496"/>
          <w:sz w:val="40"/>
        </w:rPr>
        <w:t>Fagnotat: Revisorattestasjon (CFS) og Dokumentasjonskrav i Horisont Europa</w:t>
      </w:r>
    </w:p>
    <w:p>
      <w:pPr>
        <w:spacing w:after="360"/>
      </w:pPr>
      <w:r>
        <w:rPr>
          <w:i/>
          <w:color w:val="595959"/>
          <w:sz w:val="23"/>
        </w:rPr>
        <w:t>Veiledning for prosjektøkonomer om terskelverdier, dagsatsberegning, timelister og revisjonsspor</w:t>
      </w:r>
    </w:p>
    <w:p>
      <w:pPr>
        <w:pStyle w:val="Heading1"/>
      </w:pPr>
      <w:r>
        <w:t>1. Innledning og Terskelverdier for CFS</w:t>
      </w:r>
    </w:p>
    <w:p>
      <w:pPr>
        <w:spacing w:after="160" w:line="276" w:lineRule="auto"/>
      </w:pPr>
      <w:r>
        <w:t>I EUs rammeprogram Horisont Europa stilles det strenge krav til revisorattestasjon og dokumentasjon av faktiske kostnader. Revisorattestasjonen – Certificate on the Financial Statements (CFS) – er en uavhengig kontroll av at påståtte kostnader i den økonomiske rapporten (Financial Statement) er reelle, nøyaktige og godkjente i henhold til Model Grant Agreement (MGA).</w:t>
      </w:r>
    </w:p>
    <w:p>
      <w:pPr>
        <w:spacing w:after="200"/>
        <w:ind w:left="288" w:right="288"/>
      </w:pPr>
      <w:r>
        <w:rPr>
          <w:b/>
          <w:sz w:val="19"/>
        </w:rPr>
        <w:t>Kritiske terskelverdier for CFS i Horisont Europa:</w:t>
        <w:br/>
        <w:t>• CFS kreves dersom støttemottakerens samlede EU-tilskudd for direkte faktiske kostnader overstiger EUR 430 000 ved prosjektslutt.</w:t>
        <w:br/>
        <w:t>• Beregningen av terskelverdien ekskluderer indirekte kostnader (25 % flat rate overhead) og enhetskostnader (unit costs).</w:t>
        <w:br/>
        <w:t>• Attestasjonen utføres av en godkjent statsautorisert revisor basert på felles EU-prosedyrer (Agreed-Upon Procedures).</w:t>
      </w:r>
    </w:p>
    <w:p>
      <w:pPr>
        <w:pStyle w:val="Heading1"/>
      </w:pPr>
      <w:r>
        <w:t>2. Beregning av Dagsats og Krav til Timeregistrering</w:t>
      </w:r>
    </w:p>
    <w:p>
      <w:pPr>
        <w:spacing w:after="160"/>
      </w:pPr>
      <w:r>
        <w:rPr>
          <w:b/>
        </w:rPr>
        <w:t>I Horisont Europa rapporteres personalkostnader utelukkende basert på dagsatser (daily rates) og faktiske produktive dager: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</w:rPr>
              <w:t>Kravområde</w:t>
            </w:r>
          </w:p>
        </w:tc>
        <w:tc>
          <w:tcPr>
            <w:tcW w:type="dxa" w:w="6480"/>
            <w:shd w:fill="2F5496" w:val="clear"/>
          </w:tcPr>
          <w:p>
            <w:r>
              <w:rPr>
                <w:b/>
                <w:color w:val="FFFFFF"/>
              </w:rPr>
              <w:t>Regelverk og Revisjonsstandard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9"/>
              </w:rPr>
              <w:t>215-dagersregelen</w:t>
            </w:r>
          </w:p>
        </w:tc>
        <w:tc>
          <w:tcPr>
            <w:tcW w:type="dxa" w:w="6480"/>
            <w:shd w:fill="F2F2F2" w:val="clear"/>
          </w:tcPr>
          <w:p>
            <w:r>
              <w:rPr>
                <w:sz w:val="19"/>
              </w:rPr>
              <w:t>Daglig sats beregnes som samlede årlige faktiske personalkostnader (brutto lønn + AGA + SPK) delt på en fast divisor på 215 produktive dager per kalenderår.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Timeregistrering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Ansatte må føre timer fortløpende hver måned. Månedlige egenerklæringer (declarations) signeres av den ansatte og godkjennes av prosjektleder.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9"/>
              </w:rPr>
              <w:t>Konvertering til Dager</w:t>
            </w:r>
          </w:p>
        </w:tc>
        <w:tc>
          <w:tcPr>
            <w:tcW w:type="dxa" w:w="6480"/>
            <w:shd w:fill="F2F2F2" w:val="clear"/>
          </w:tcPr>
          <w:p>
            <w:r>
              <w:rPr>
                <w:sz w:val="19"/>
              </w:rPr>
              <w:t>Timer konverteres til produktive dager ved å dele månedlig timeantall på ordinær daglig arbeidstid (f.eks. 7.5 timer/dag i staten).</w:t>
            </w:r>
          </w:p>
        </w:tc>
      </w:tr>
    </w:tbl>
    <w:p>
      <w:pPr>
        <w:spacing w:after="240"/>
      </w:pPr>
    </w:p>
    <w:p>
      <w:pPr>
        <w:pStyle w:val="Heading1"/>
      </w:pPr>
      <w:r>
        <w:t>3. Dokumentasjonskrav for Øvrige Kostnader og Arkivering</w:t>
      </w:r>
    </w:p>
    <w:p>
      <w:pPr>
        <w:spacing w:after="160"/>
      </w:pPr>
      <w:r>
        <w:rPr>
          <w:b/>
        </w:rPr>
        <w:t>Ved en CFS-revisjon eller en etterfølgende EU-kontroll må alle kostnadsposter kunne dokumenteres med uavbrutt kontrollspor:</w:t>
      </w:r>
    </w:p>
    <w:p>
      <w:pPr>
        <w:spacing w:after="200"/>
      </w:pPr>
      <w:r>
        <w:rPr>
          <w:sz w:val="20"/>
        </w:rPr>
        <w:t>• Kjøpskostnader (Reiser &amp; Utstyr): Må være direkte nødvendige for prosjektet, bokført på prosjektnummeret, og støttet av originale fakturaer, reiseregninger, ombordstigningskort og BDM-godkjenninger.</w:t>
        <w:br/>
        <w:t>• Underleverandører (Subcontracting): Kjøp må følge lov om offentlige anskaffelser (LOA) med dokumenterte anbud, tilbudsevalueringer og faglige leveransebekreftelser.</w:t>
        <w:br/>
        <w:t>• Koordinatorrolle (Konto 250): Midler videreformidlet til partnere må dokumenteres med bankkvitteringer og signerte konsortieavtaler (CA).</w:t>
        <w:br/>
        <w:t>• 10-års oppbevaringsplikt: Alt regnskapsmateriell, timelister og korrespondanse skal oppbevares trygt i minimum 10 år i henhold til Bestemmelsene pkt. 4.4.10.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FAGNOTAT: CFS-REVISJON OG DOKUMENTASJONSKRAV I HORISONT EUROPA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