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F5496"/>
          <w:sz w:val="44"/>
        </w:rPr>
        <w:t>Sjekkliste for Prosjektleder (PL): NFR-Forskerprosjekt</w:t>
      </w:r>
    </w:p>
    <w:p>
      <w:pPr>
        <w:spacing w:after="360"/>
      </w:pPr>
      <w:r>
        <w:rPr>
          <w:i/>
          <w:color w:val="595959"/>
          <w:sz w:val="24"/>
        </w:rPr>
        <w:t>Praktisk oppfølgingskort for forløp, TDI-kalkyle, BDM, timeregistrering og SRS 10-rapportering</w:t>
      </w:r>
    </w:p>
    <w:p>
      <w:pPr>
        <w:spacing w:after="240" w:line="276" w:lineRule="auto"/>
      </w:pPr>
      <w:r>
        <w:rPr>
          <w:sz w:val="21"/>
        </w:rPr>
        <w:t>Denne sjekklisten gir prosjektledere (PL) ved instituttet en operativ og strukturert oversikt over oppgaver, ansvar og kontrollpunkter gjennom hele livsløpet til et NFR-finansiert forskerprosjekt (f.eks. ARCTIC-SENS). Retningslinjene bygger på Statlige RegnskapsStandarder (SRS 10), TDI-modellen, Reglement for økonomistyring i staten og institusjonens interne delegasjonsreglement.</w:t>
      </w:r>
    </w:p>
    <w:p>
      <w:pPr>
        <w:pStyle w:val="Heading1"/>
      </w:pPr>
      <w:r>
        <w:t>1. Pre-Award og Søknadsfase (TDI-kalkyle og BDM)</w:t>
      </w:r>
    </w:p>
    <w:p>
      <w:pPr>
        <w:spacing w:after="160"/>
      </w:pPr>
      <w:r>
        <w:rPr>
          <w:b/>
        </w:rPr>
        <w:t>I søknadsfasen skal alle reelle kostnader beregnes nøyaktig i samhandling med prosjektøkonomen: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F5496" w:val="clear"/>
          </w:tcPr>
          <w:p>
            <w:r>
              <w:rPr>
                <w:b/>
                <w:color w:val="FFFFFF"/>
              </w:rPr>
              <w:t>Kontrollpunkt</w:t>
            </w:r>
          </w:p>
        </w:tc>
        <w:tc>
          <w:tcPr>
            <w:tcW w:type="dxa" w:w="5040"/>
            <w:shd w:fill="2F5496" w:val="clear"/>
          </w:tcPr>
          <w:p>
            <w:r>
              <w:rPr>
                <w:b/>
                <w:color w:val="FFFFFF"/>
              </w:rPr>
              <w:t>Beskrivelse og regelverkskrav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</w:rPr>
              <w:t>Ansvarlig</w:t>
            </w:r>
          </w:p>
        </w:tc>
      </w:tr>
      <w:tr>
        <w:tc>
          <w:tcPr>
            <w:tcW w:type="dxa" w:w="2592"/>
            <w:shd w:fill="F2F2F2" w:val="clear"/>
          </w:tcPr>
          <w:p>
            <w:r>
              <w:rPr>
                <w:sz w:val="19"/>
              </w:rPr>
              <w:t>TDI-Kalkyle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sz w:val="19"/>
              </w:rPr>
              <w:t>Beregne direkte lønn/frikjøp (forskertid, postdoc, PhD) inkl. sosiale kostnader (AGA, SPK, feriepenger) samt direkte drift. Indirekte overhead beregnes etter fastsatte TDI-satser.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9"/>
              </w:rPr>
              <w:t>PL &amp; Controller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Egenandel &amp; Frikjøp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Avklare om NFRs tilskudd dekker full TDI-overhead, eller om instituttet må dekke udekket overhead/egenandel fra sin grunnbevilgning.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PL &amp; Instituttleder</w:t>
            </w:r>
          </w:p>
        </w:tc>
      </w:tr>
      <w:tr>
        <w:tc>
          <w:tcPr>
            <w:tcW w:type="dxa" w:w="2592"/>
            <w:shd w:fill="F2F2F2" w:val="clear"/>
          </w:tcPr>
          <w:p>
            <w:r>
              <w:rPr>
                <w:sz w:val="19"/>
              </w:rPr>
              <w:t>BDM-Godkjenning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sz w:val="19"/>
              </w:rPr>
              <w:t>Søknaden og kalkylen må skriftlig godkjennes av instituttleder med Budsjettdisponeringsmyndighet (BDM) før innsending.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9"/>
              </w:rPr>
              <w:t>BDM-holder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Risikovurdering R1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Kvalitetssikre at kalkylen er feilfri for å unngå uforutsett overhead-svikt eller prosjektunderskudd.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Controller</w:t>
            </w:r>
          </w:p>
        </w:tc>
      </w:tr>
    </w:tbl>
    <w:p>
      <w:pPr>
        <w:spacing w:after="240"/>
      </w:pPr>
    </w:p>
    <w:p>
      <w:pPr>
        <w:pStyle w:val="Heading1"/>
      </w:pPr>
      <w:r>
        <w:t>2. Kontraktsinngåelse og Opprettelse i Økonomisystemet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F5496" w:val="clear"/>
          </w:tcPr>
          <w:p>
            <w:r>
              <w:rPr>
                <w:b/>
                <w:color w:val="FFFFFF"/>
              </w:rPr>
              <w:t>Kontrollpunkt</w:t>
            </w:r>
          </w:p>
        </w:tc>
        <w:tc>
          <w:tcPr>
            <w:tcW w:type="dxa" w:w="5040"/>
            <w:shd w:fill="2F5496" w:val="clear"/>
          </w:tcPr>
          <w:p>
            <w:r>
              <w:rPr>
                <w:b/>
                <w:color w:val="FFFFFF"/>
              </w:rPr>
              <w:t>Beskrivelse og regelverkskrav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</w:rPr>
              <w:t>Ansvarlig</w:t>
            </w:r>
          </w:p>
        </w:tc>
      </w:tr>
      <w:tr>
        <w:tc>
          <w:tcPr>
            <w:tcW w:type="dxa" w:w="2592"/>
            <w:shd w:fill="F2F2F2" w:val="clear"/>
          </w:tcPr>
          <w:p>
            <w:r>
              <w:rPr>
                <w:sz w:val="19"/>
              </w:rPr>
              <w:t>Kontraktsignering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sz w:val="19"/>
              </w:rPr>
              <w:t>Kontrakten med NFR (Grant Agreement) må signeres av skriftlig BDM-holder (dekan/direktør). PL har faglig ansvar, men mangler juridisk BDM-fullmakt.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9"/>
              </w:rPr>
              <w:t>BDM-holder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SRS 10-Klassifisering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NFR-prosjektet klassifiseres som Bidragsforskning etter SRS 10. Innbetalt forskudd balanseres på Konto 218 og inntektsføres kun i takt med påløpte kostnader.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Controller</w:t>
            </w:r>
          </w:p>
        </w:tc>
      </w:tr>
      <w:tr>
        <w:tc>
          <w:tcPr>
            <w:tcW w:type="dxa" w:w="2592"/>
            <w:shd w:fill="F2F2F2" w:val="clear"/>
          </w:tcPr>
          <w:p>
            <w:r>
              <w:rPr>
                <w:sz w:val="19"/>
              </w:rPr>
              <w:t>Funksjonsskille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sz w:val="19"/>
              </w:rPr>
              <w:t>Sette opp rolleseparering i økonomisystemet: PL attesterer for faglig mottak, mens BDM-holder utfører endelig utbetalingsgodkjenning. Sperre for egenattestasjon.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9"/>
              </w:rPr>
              <w:t>Økonomiavdelingen</w:t>
            </w:r>
          </w:p>
        </w:tc>
      </w:tr>
    </w:tbl>
    <w:p>
      <w:pPr>
        <w:spacing w:after="240"/>
      </w:pPr>
    </w:p>
    <w:p>
      <w:pPr>
        <w:pStyle w:val="Heading1"/>
      </w:pPr>
      <w:r>
        <w:t>3. Løpende Drift, Timeregistrering og Oppfølging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F5496" w:val="clear"/>
          </w:tcPr>
          <w:p>
            <w:r>
              <w:rPr>
                <w:b/>
                <w:color w:val="FFFFFF"/>
              </w:rPr>
              <w:t>Kontrollpunkt</w:t>
            </w:r>
          </w:p>
        </w:tc>
        <w:tc>
          <w:tcPr>
            <w:tcW w:type="dxa" w:w="5040"/>
            <w:shd w:fill="2F5496" w:val="clear"/>
          </w:tcPr>
          <w:p>
            <w:r>
              <w:rPr>
                <w:b/>
                <w:color w:val="FFFFFF"/>
              </w:rPr>
              <w:t>Beskrivelse og regelverkskrav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</w:rPr>
              <w:t>Ansvarlig</w:t>
            </w:r>
          </w:p>
        </w:tc>
      </w:tr>
      <w:tr>
        <w:tc>
          <w:tcPr>
            <w:tcW w:type="dxa" w:w="2592"/>
            <w:shd w:fill="F2F2F2" w:val="clear"/>
          </w:tcPr>
          <w:p>
            <w:r>
              <w:rPr>
                <w:sz w:val="19"/>
              </w:rPr>
              <w:t>Timeregistrering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sz w:val="19"/>
              </w:rPr>
              <w:t>Alle vitenskapelige ansatte og stipendiater må føre timer fortløpende i timeføringssystemet månedlig for å dokumentere frikjøp og utløse TDI-overhead.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9"/>
              </w:rPr>
              <w:t>PL &amp; Forskere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Tertialvis Gjennomgang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PL og controller gjennomgår prosjektregnskapet hvert tertial. Analysere periodiseringsavvik (tidsforskyvninger) og varige kostnadsavvik.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PL &amp; Controller</w:t>
            </w:r>
          </w:p>
        </w:tc>
      </w:tr>
      <w:tr>
        <w:tc>
          <w:tcPr>
            <w:tcW w:type="dxa" w:w="2592"/>
            <w:shd w:fill="F2F2F2" w:val="clear"/>
          </w:tcPr>
          <w:p>
            <w:r>
              <w:rPr>
                <w:sz w:val="19"/>
              </w:rPr>
              <w:t>Tapsavsetning (Konto 786)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sz w:val="19"/>
              </w:rPr>
              <w:t>Dersom avviksanalysen viser fare for sluttunderskudd, skal forventet underskudd umiddelbart kostnadsføres som tapsavsetning på Konto 786 (SRS 10 pkt. 22).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9"/>
              </w:rPr>
              <w:t>Controller &amp; BDM</w:t>
            </w:r>
          </w:p>
        </w:tc>
      </w:tr>
    </w:tbl>
    <w:p>
      <w:pPr>
        <w:spacing w:after="240"/>
      </w:pPr>
    </w:p>
    <w:p>
      <w:pPr>
        <w:pStyle w:val="Heading1"/>
      </w:pPr>
      <w:r>
        <w:t>4. Prosjektslutt, Sluttrapportering og Arkivering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F5496" w:val="clear"/>
          </w:tcPr>
          <w:p>
            <w:r>
              <w:rPr>
                <w:b/>
                <w:color w:val="FFFFFF"/>
              </w:rPr>
              <w:t>Kontrollpunkt</w:t>
            </w:r>
          </w:p>
        </w:tc>
        <w:tc>
          <w:tcPr>
            <w:tcW w:type="dxa" w:w="5040"/>
            <w:shd w:fill="2F5496" w:val="clear"/>
          </w:tcPr>
          <w:p>
            <w:r>
              <w:rPr>
                <w:b/>
                <w:color w:val="FFFFFF"/>
              </w:rPr>
              <w:t>Beskrivelse og regelverkskrav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</w:rPr>
              <w:t>Ansvarlig</w:t>
            </w:r>
          </w:p>
        </w:tc>
      </w:tr>
      <w:tr>
        <w:tc>
          <w:tcPr>
            <w:tcW w:type="dxa" w:w="2592"/>
            <w:shd w:fill="F2F2F2" w:val="clear"/>
          </w:tcPr>
          <w:p>
            <w:r>
              <w:rPr>
                <w:sz w:val="19"/>
              </w:rPr>
              <w:t>Sluttoppgjør &amp; Fagrapport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sz w:val="19"/>
              </w:rPr>
              <w:t>Innsending av faglig sluttrapport til NFR og avstemming av Konto 218 slik at inntekter og kostnader balanserer i kr 0.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9"/>
              </w:rPr>
              <w:t>PL &amp; Controller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10-års Arkivering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Arkivere prosjektregnskap, BDM-godkjenninger, timelister, tilbud, fakturaer og fagrapporter i minst 10 år for Riksrevisjonens kontrollspor.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PL &amp; Arkiv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SJEKKLISTE OG VEILEDER FOR PROSJEKTLEDERE (PL) - NFR-PROSJEKTER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