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B365D"/>
          <w:sz w:val="48"/>
        </w:rPr>
        <w:t>🏛️ Prosjektmandat &amp; Saksframlegg</w:t>
      </w:r>
    </w:p>
    <w:p>
      <w:pPr>
        <w:spacing w:after="360"/>
      </w:pPr>
      <w:r>
        <w:rPr>
          <w:rFonts w:ascii="Arial" w:hAnsi="Arial"/>
          <w:i/>
          <w:color w:val="B87333"/>
          <w:sz w:val="26"/>
        </w:rPr>
        <w:t>Pilotering av AI-Økonomirådgiver i Helse og Mestring — Kristiansand Kommune</w:t>
      </w:r>
    </w:p>
    <w:p>
      <w:pPr>
        <w:spacing w:after="360"/>
      </w:pPr>
    </w:p>
    <w:p>
      <w:pPr>
        <w:pStyle w:val="Heading1"/>
      </w:pPr>
      <w:r>
        <w:rPr>
          <w:rFonts w:ascii="Arial" w:hAnsi="Arial"/>
          <w:color w:val="1B365D"/>
        </w:rPr>
        <w:t>1. Bakgrunn og Formål</w:t>
      </w:r>
    </w:p>
    <w:p>
      <w:pPr>
        <w:spacing w:after="200" w:line="276" w:lineRule="auto"/>
      </w:pPr>
      <w:r>
        <w:t>Helse og Mestring i Kristiansand kommune forvalter et netto driftsbudsjett på ca. 3,52 milliarder kroner og over 2 700 faste årsverk fordelt på 6 kommunalsjefområder. Sektoren står overfor store demografiske endringer, komplekse omstillingsprosjekter (som TØRN-satsingen for ny oppgavedeling) og tidsvis stramme rammer som krever tett månedlig avviksoppfølging.</w:t>
      </w:r>
    </w:p>
    <w:p>
      <w:pPr>
        <w:spacing w:after="320" w:line="276" w:lineRule="auto"/>
      </w:pPr>
      <w:r>
        <w:t>Formålet med pilotprosjektet er å innføre en proaktiv AI-økonomirådgiver som automatiserer månedlig avviksanalyse, beregner prediktive årsprognoser (End-of-Year), og utarbeider regelrette forslag til balansetiltak og omdisponeringer i tråd med kommuneloven § 14-5 og kommunens økonomireglement.</w:t>
      </w:r>
    </w:p>
    <w:p>
      <w:pPr>
        <w:pStyle w:val="Heading1"/>
      </w:pPr>
      <w:r>
        <w:rPr>
          <w:rFonts w:ascii="Arial" w:hAnsi="Arial"/>
          <w:color w:val="1B365D"/>
        </w:rPr>
        <w:t>2. Forhåndsdefinisjoner &amp; Eventualiteter</w:t>
      </w:r>
    </w:p>
    <w:p>
      <w:pPr>
        <w:spacing w:after="240"/>
      </w:pPr>
      <w:r>
        <w:t>For at systemet skal fungere sikkert og oppfylle alle krav fra revisjon, Statsforvalteren og personvernlovgivningen, er følgende 5 kjerneområder definert: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Kjerneområde</w:t>
            </w:r>
          </w:p>
        </w:tc>
        <w:tc>
          <w:tcPr>
            <w:tcW w:type="dxa" w:w="6192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Beskrivelse og Spesifikasjon</w:t>
            </w:r>
          </w:p>
        </w:tc>
      </w:tr>
      <w:tr>
        <w:tc>
          <w:tcPr>
            <w:tcW w:type="dxa" w:w="3168"/>
            <w:shd w:val="clear" w:color="auto"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A. Dataarkitektur &amp; Kildeintegrasjon (SSOT)</w:t>
            </w:r>
          </w:p>
        </w:tc>
        <w:tc>
          <w:tcPr>
            <w:tcW w:type="dxa" w:w="6192"/>
            <w:shd w:val="clear" w:color="auto"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Nattlige batch-grensesnitt mot Unit4 ERP (transaksjoner), Framsikt (økonomiplan/budsjett), GAT (turnus/overtid/sykefravær) og KOSTRA. Standardisert kobling over 6-nivås hierarki.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B. Betingede RAG-Grenseverdier (KPI)</w:t>
            </w:r>
          </w:p>
        </w:tc>
        <w:tc>
          <w:tcPr>
            <w:tcW w:type="dxa" w:w="61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🟢 Grønn (&lt;=0%: I balanse), 🟡 Gul (0,1–3,0%: Internt varsel), 🔴 Rød (&gt;3,0%: Obligatorisk plikt til § 14-5 balansetiltak).</w:t>
            </w:r>
          </w:p>
        </w:tc>
      </w:tr>
      <w:tr>
        <w:tc>
          <w:tcPr>
            <w:tcW w:type="dxa" w:w="3168"/>
            <w:shd w:val="clear" w:color="auto"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C. Fullmakts- &amp; Eskaleringsmatrise</w:t>
            </w:r>
          </w:p>
        </w:tc>
        <w:tc>
          <w:tcPr>
            <w:tcW w:type="dxa" w:w="6192"/>
            <w:shd w:val="clear" w:color="auto"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Administrative omdisponeringer innenfor samme kommunalsjefområde avklares av Kommunedirektør. Omdisponeringer på tvers av kommunalsjefområder/sektorer krever politisk saksframlegg til Bystyret/Formannskapet.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D. Juridiske &amp; Etiske Sperrer</w:t>
            </w:r>
          </w:p>
        </w:tc>
        <w:tc>
          <w:tcPr>
            <w:tcW w:type="dxa" w:w="61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Innebygd etisk sperre mot kutt i lovpålagte minstetjenester/bemanningsnormer. Menneskelig overstyring (Human-in-the-Loop) gjelder for alle AI-genererte forslag.</w:t>
            </w:r>
          </w:p>
        </w:tc>
      </w:tr>
      <w:tr>
        <w:tc>
          <w:tcPr>
            <w:tcW w:type="dxa" w:w="3168"/>
            <w:shd w:val="clear" w:color="auto"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E. Sikkerhet, Personvern (GDPR) &amp; Audit</w:t>
            </w:r>
          </w:p>
        </w:tc>
        <w:tc>
          <w:tcPr>
            <w:tcW w:type="dxa" w:w="6192"/>
            <w:shd w:val="clear" w:color="auto"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Kun aggregerte lønnstall behandles (dataminimering). Rollebasert tilgangskontroll (RBAC). Uforanderlig audit_log for Kommunerevisjon (NKRF), Agder Kontrollutvalg og Statsforvalteren.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Arial" w:hAnsi="Arial"/>
          <w:color w:val="1B365D"/>
        </w:rPr>
        <w:t>3. Styringssløyfe &amp; Fullmaktstrapp</w:t>
      </w:r>
    </w:p>
    <w:p>
      <w:pPr>
        <w:pStyle w:val="Heading2"/>
      </w:pPr>
      <w:r>
        <w:t>Den Månedlige Styringssløyfen</w:t>
      </w:r>
    </w:p>
    <w:p>
      <w:pPr>
        <w:ind w:left="288"/>
      </w:pPr>
      <w:r>
        <w:rPr>
          <w:b/>
        </w:rPr>
        <w:t xml:space="preserve">1. Månedlig Data-Import: </w:t>
      </w:r>
      <w:r>
        <w:t>Automatisk henting fra ERP, Framsikt og GAT.</w:t>
        <w:br/>
      </w:r>
      <w:r>
        <w:rPr>
          <w:b/>
        </w:rPr>
        <w:t xml:space="preserve">2. AI Analyse &amp; Trafikklys: </w:t>
      </w:r>
      <w:r>
        <w:t>Akkumulert avvik, EOY-årsprognose, RAG-status (🟢, 🟡, 🔴).</w:t>
        <w:br/>
      </w:r>
      <w:r>
        <w:rPr>
          <w:b/>
        </w:rPr>
        <w:t xml:space="preserve">3. Avviksoppfølging: </w:t>
      </w:r>
      <w:r>
        <w:t>Ved 🔴 Rød status genereres automatisk preskriptive balansetiltak (§ 14-5).</w:t>
        <w:br/>
      </w:r>
      <w:r>
        <w:rPr>
          <w:b/>
        </w:rPr>
        <w:t xml:space="preserve">4. Fullmaktssjekk &amp; Saksgenerering: </w:t>
      </w:r>
      <w:r>
        <w:t>Automatisk ruting til enten administrativ godkjenning eller politisk saksframlegg.</w:t>
      </w:r>
    </w:p>
    <w:p>
      <w:pPr>
        <w:pStyle w:val="Heading2"/>
      </w:pPr>
      <w:r>
        <w:t>Fullmakts- og Eskaleringstrapp</w:t>
      </w:r>
    </w:p>
    <w:p>
      <w:pPr>
        <w:ind w:left="288"/>
      </w:pPr>
      <w:r>
        <w:rPr>
          <w:b/>
        </w:rPr>
        <w:t xml:space="preserve">• Nivå 1: Bystyret / Formannskapet: </w:t>
      </w:r>
      <w:r>
        <w:t>Endringer på tvers av kommunalsjefområder, bruk av disposisjonsfond, permanente tilbudsstrukturer.</w:t>
        <w:br/>
      </w:r>
      <w:r>
        <w:rPr>
          <w:b/>
        </w:rPr>
        <w:t xml:space="preserve">• Nivå 2: Kommunedirektøren / Kommunalsjef: </w:t>
      </w:r>
      <w:r>
        <w:t>Administrative omdisponeringer innenfor samme kommunalsjefområde, inndragning/opprettelse av enkeltstillinger.</w:t>
        <w:br/>
      </w:r>
      <w:r>
        <w:rPr>
          <w:b/>
        </w:rPr>
        <w:t xml:space="preserve">• Nivå 3: Enhetsleder (BOMILJØ / Ansvar): </w:t>
      </w:r>
      <w:r>
        <w:t>Disponeringsfullmakt innenfor tildelt enhetsbudsjett, månedlig avviksoppfølging og TØRN-bemanningsplanlegging.</w:t>
      </w:r>
    </w:p>
    <w:p>
      <w:pPr>
        <w:spacing w:after="280"/>
      </w:pPr>
    </w:p>
    <w:p>
      <w:pPr>
        <w:pStyle w:val="Heading1"/>
      </w:pPr>
      <w:r>
        <w:rPr>
          <w:rFonts w:ascii="Arial" w:hAnsi="Arial"/>
          <w:color w:val="1B365D"/>
        </w:rPr>
        <w:t>4. Framtidige Mulighetsområder for AI i Helse og Mestring</w:t>
      </w:r>
    </w:p>
    <w:p>
      <w:pPr>
        <w:pStyle w:val="ListBullet"/>
        <w:spacing w:after="120"/>
      </w:pPr>
      <w:r>
        <w:rPr>
          <w:b/>
          <w:color w:val="1B365D"/>
        </w:rPr>
        <w:t xml:space="preserve">TØRN &amp; Smart Turnusgenerator: </w:t>
      </w:r>
      <w:r>
        <w:t>Dynamisk oppgavedeling basert på kompetansebehov time for time. Prediktiv overtid og fraværsstyring.</w:t>
      </w:r>
    </w:p>
    <w:p>
      <w:pPr>
        <w:pStyle w:val="ListBullet"/>
        <w:spacing w:after="120"/>
      </w:pPr>
      <w:r>
        <w:rPr>
          <w:b/>
          <w:color w:val="1B365D"/>
        </w:rPr>
        <w:t xml:space="preserve">Prediktiv Pasientstrøm &amp; Kapasitet: </w:t>
      </w:r>
      <w:r>
        <w:t>Forutse utskrivingsklare pasienter fra Sørlandet sykehus (SSHF) for å unngå overliggerbøter og optimalisere sykehjemsopphold.</w:t>
      </w:r>
    </w:p>
    <w:p>
      <w:pPr>
        <w:pStyle w:val="ListBullet"/>
        <w:spacing w:after="120"/>
      </w:pPr>
      <w:r>
        <w:rPr>
          <w:b/>
          <w:color w:val="1B365D"/>
        </w:rPr>
        <w:t xml:space="preserve">Intelligent Responssenter &amp; Velferdsteknologi: </w:t>
      </w:r>
      <w:r>
        <w:t>Mønstergjenkjenning i trygghetsalarmer, fallsensorer og medisindispensere for å fange opp funksjonssvikt tidlig.</w:t>
      </w:r>
    </w:p>
    <w:p>
      <w:pPr>
        <w:pStyle w:val="ListBullet"/>
        <w:spacing w:after="120"/>
      </w:pPr>
      <w:r>
        <w:rPr>
          <w:b/>
          <w:color w:val="1B365D"/>
        </w:rPr>
        <w:t xml:space="preserve">Beslutningsstøtte i EPJ (Pasientjournal): </w:t>
      </w:r>
      <w:r>
        <w:t>Klinisk oppsummering ved vaktskifte, talegjenkjenning for diktering i hjemmetjenesten.</w:t>
      </w:r>
    </w:p>
    <w:p>
      <w:pPr>
        <w:pStyle w:val="ListBullet"/>
        <w:spacing w:after="120"/>
      </w:pPr>
      <w:r>
        <w:rPr>
          <w:b/>
          <w:color w:val="1B365D"/>
        </w:rPr>
        <w:t xml:space="preserve">Automatisk Tildeling &amp; ISF-Optimalisering: </w:t>
      </w:r>
      <w:r>
        <w:t>Assistanse ved vedtak om Innsatsstyrt Finansiering (ISF), praktisk bistand og hverdagsrehabilitering.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>Prosjektmandat &amp; Saksframlegg — AI-Beslutningsstøtte (Pilotering)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KRISTIANSAND KOMMUNE | HELSE OG MESTRING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