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WF5 Rule driven migration evaluation</w:t>
      </w:r>
    </w:p>
    <w:p>
      <w:pPr>
        <w:spacing w:after="200"/>
      </w:pPr>
      <w:r>
        <w:rPr>
          <w:sz w:val="18"/>
        </w:rPr>
        <w:t>Report subsection and evidence appendix  |  Updated 16 October 2026</w:t>
      </w:r>
    </w:p>
    <w:p>
      <w:pPr>
        <w:pStyle w:val="Heading1"/>
      </w:pPr>
      <w:r>
        <w:t>Approach</w:t>
      </w:r>
    </w:p>
    <w:p>
      <w:r>
        <w:t xml:space="preserve">WF5 decomposed Mealie’s Vue/Nuxt-to-React migration by reusable rule families. Codex received the frozen source, baseline, repository guidance, five fixed samples and persistent plan, rule and decision documents. Phase A proposed 35 Mechanical, Semi-mechanical or Judgement rules; full implementation was not demonstrated. Human Gate 1 approval preceded a bounded AST converter and separate React infrastructure. </w:t>
      </w:r>
      <w:hyperlink r:id="rId9">
        <w:r>
          <w:rPr>
            <w:color w:val="145DA0"/>
          </w:rPr>
          <w:t>[E2–E4]</w:t>
        </w:r>
      </w:hyperlink>
      <w:r/>
    </w:p>
    <w:p>
      <w:r>
        <w:t xml:space="preserve">The samples covered a page, two components, a store and a layout. Generated output, infrastructure and semantic refinements had separate provenance. After at most three numbered rounds, more than 30% still requiring file-specific semantic work would stop batch conversion, counting blocked files. Checks covered rules, strict types, lint, units, two builds and sample review. </w:t>
      </w:r>
      <w:hyperlink r:id="rId9">
        <w:r>
          <w:rPr>
            <w:color w:val="145DA0"/>
          </w:rPr>
          <w:t>[E4–E6]</w:t>
        </w:r>
      </w:hyperlink>
      <w:r/>
    </w:p>
    <w:p>
      <w:pPr>
        <w:pStyle w:val="Heading1"/>
      </w:pPr>
      <w:r>
        <w:t>What happened</w:t>
      </w:r>
    </w:p>
    <w:p>
      <w:r>
        <w:t xml:space="preserve">RecipeChips and BaseButton were generated; the page, store and layout remained blocked. The unresolved rate was 3/5 = 60%, so Gate 2 remained NOT READY and batch conversion stopped. Three numbered rounds exist without complete per-round semantic approval records. Checks tested b574538; 8b0fae1 records the final stop. </w:t>
      </w:r>
      <w:hyperlink r:id="rId9">
        <w:r>
          <w:rPr>
            <w:color w:val="145DA0"/>
          </w:rPr>
          <w:t>[E5, E6]</w:t>
        </w:r>
      </w:hyperlink>
      <w:r/>
    </w:p>
    <w:p>
      <w:r>
        <w:t xml:space="preserve">The implementation passed 20 rules, 36 target units, strict types, lint and two builds. Only ten original helper cases transferred unchanged; 46 source test files remained unmigrated. Baseline Vue passed 517 units, 66 routes and 15 flows, with 314 existing type diagnostics. No complete React application, whole-app route/flow acceptance or target coverage was established. </w:t>
      </w:r>
      <w:hyperlink r:id="rId9">
        <w:r>
          <w:rPr>
            <w:color w:val="145DA0"/>
          </w:rPr>
          <w:t>[E1, E5, E6]</w:t>
        </w:r>
      </w:hyperlink>
      <w:r/>
    </w:p>
    <w:p>
      <w:r>
        <w:t xml:space="preserve">A separate post-stop audit reproduced routine passes but exposed acceptance, rollback and behavior defects: 11/19 safety conditions and 14/16 behavior probes passed. These findings supplement the original stop caused by unresolved samples. Failed-command logs remain available. </w:t>
      </w:r>
      <w:hyperlink r:id="rId9">
        <w:r>
          <w:rPr>
            <w:color w:val="145DA0"/>
          </w:rPr>
          <w:t>[E7, E8]</w:t>
        </w:r>
      </w:hyperlink>
      <w:r/>
    </w:p>
    <w:p>
      <w:pPr>
        <w:pStyle w:val="Heading1"/>
      </w:pPr>
      <w:r>
        <w:t>Why</w:t>
      </w:r>
    </w:p>
    <w:p>
      <w:r>
        <w:t xml:space="preserve">We attribute the failure to shared application contracts: page authentication timing, store lifetime and layout dependencies required decisions beyond local syntax conversion. The audit also found validation and runtime defects despite routine passes, so successful builds could not establish system-wide equivalence. </w:t>
      </w:r>
      <w:hyperlink r:id="rId9">
        <w:r>
          <w:rPr>
            <w:color w:val="145DA0"/>
          </w:rPr>
          <w:t>[E5, E8]</w:t>
        </w:r>
      </w:hyperlink>
      <w:r/>
    </w:p>
    <w:p>
      <w:pPr>
        <w:pStyle w:val="Heading1"/>
      </w:pPr>
      <w:r>
        <w:t>What we would change</w:t>
      </w:r>
    </w:p>
    <w:p>
      <w:r>
        <w:t xml:space="preserve">We would resolve those shared contracts through human review, then require sample identity and expected-byte checks, rollback tests, independent behavior probes and explicit semantic verdicts before batching. Retain the stopping rule and limit codemods to reviewed syntactic subsets. </w:t>
      </w:r>
      <w:hyperlink r:id="rId9">
        <w:r>
          <w:rPr>
            <w:color w:val="145DA0"/>
          </w:rPr>
          <w:t>[E5, E8]</w:t>
        </w:r>
      </w:hyperlink>
      <w:r/>
    </w:p>
    <w:p>
      <w:r>
        <w:t xml:space="preserve">Formal execution used 8,992,891 reported tokens over 78.59 elapsed minutes; the separate audit used 13,086,633 over 20.85 minutes, including task agents and automatic review. Preparation, setup and bookkeeping are separate. Cached input and reasoning are already included in input/output. Fees and measured human-review or active-agent time were unavailable. These boundaries and the small sample prevent a controlled efficiency ranking. </w:t>
      </w:r>
      <w:hyperlink r:id="rId9">
        <w:r>
          <w:rPr>
            <w:color w:val="145DA0"/>
          </w:rPr>
          <w:t>[E9]</w:t>
        </w:r>
      </w:hyperlink>
      <w:r/>
    </w:p>
    <w:p>
      <w:r>
        <w:br w:type="page"/>
      </w:r>
    </w:p>
    <w:p>
      <w:pPr>
        <w:pStyle w:val="Heading1"/>
      </w:pPr>
      <w:r>
        <w:t>Appendix A Validation and cost boundaries</w:t>
      </w:r>
    </w:p>
    <w:tbl>
      <w:tblPr>
        <w:tblW w:type="auto" w:w="0"/>
        <w:tblLayout w:type="fixed"/>
        <w:tblLook w:firstColumn="1" w:firstRow="1" w:lastColumn="0" w:lastRow="0" w:noHBand="0" w:noVBand="1" w:val="04A0"/>
      </w:tblPr>
      <w:tblGrid>
        <w:gridCol w:w="2088"/>
        <w:gridCol w:w="7992"/>
      </w:tblGrid>
      <w:tr>
        <w:tc>
          <w:tcPr>
            <w:tcW w:type="dxa" w:w="2088"/>
            <w:shd w:fill="EDEFF1"/>
          </w:tcPr>
          <w:p>
            <w:pPr>
              <w:spacing w:after="60" w:before="60"/>
            </w:pPr>
            <w:r>
              <w:rPr>
                <w:b/>
                <w:sz w:val="20"/>
              </w:rPr>
              <w:t>Scope</w:t>
            </w:r>
          </w:p>
        </w:tc>
        <w:tc>
          <w:tcPr>
            <w:tcW w:type="dxa" w:w="7992"/>
            <w:shd w:fill="EDEFF1"/>
          </w:tcPr>
          <w:p>
            <w:pPr>
              <w:spacing w:after="60" w:before="60"/>
            </w:pPr>
            <w:r>
              <w:rPr>
                <w:b/>
                <w:sz w:val="20"/>
              </w:rPr>
              <w:t>Recorded outcome</w:t>
            </w:r>
          </w:p>
        </w:tc>
      </w:tr>
      <w:tr>
        <w:tc>
          <w:tcPr>
            <w:tcW w:type="dxa" w:w="2088"/>
          </w:tcPr>
          <w:p>
            <w:pPr>
              <w:spacing w:after="60" w:before="60"/>
            </w:pPr>
            <w:r>
              <w:rPr>
                <w:sz w:val="20"/>
              </w:rPr>
              <w:t>Fixed samples</w:t>
            </w:r>
          </w:p>
        </w:tc>
        <w:tc>
          <w:tcPr>
            <w:tcW w:type="dxa" w:w="7992"/>
          </w:tcPr>
          <w:p>
            <w:pPr>
              <w:spacing w:after="60" w:before="60"/>
            </w:pPr>
            <w:r>
              <w:rPr>
                <w:sz w:val="20"/>
              </w:rPr>
              <w:t>2 generated; 3 blocked; 60% unresolved; Gate 2 NOT READY</w:t>
            </w:r>
          </w:p>
        </w:tc>
      </w:tr>
      <w:tr>
        <w:tc>
          <w:tcPr>
            <w:tcW w:type="dxa" w:w="2088"/>
          </w:tcPr>
          <w:p>
            <w:pPr>
              <w:spacing w:after="60" w:before="60"/>
            </w:pPr>
            <w:r>
              <w:rPr>
                <w:sz w:val="20"/>
              </w:rPr>
              <w:t>Historical checks</w:t>
            </w:r>
          </w:p>
        </w:tc>
        <w:tc>
          <w:tcPr>
            <w:tcW w:type="dxa" w:w="7992"/>
          </w:tcPr>
          <w:p>
            <w:pPr>
              <w:spacing w:after="60" w:before="60"/>
            </w:pPr>
            <w:r>
              <w:rPr>
                <w:sz w:val="20"/>
              </w:rPr>
              <w:t>20 rules; 36 units; strict types and lint; two builds pass</w:t>
            </w:r>
          </w:p>
        </w:tc>
      </w:tr>
      <w:tr>
        <w:tc>
          <w:tcPr>
            <w:tcW w:type="dxa" w:w="2088"/>
          </w:tcPr>
          <w:p>
            <w:pPr>
              <w:spacing w:after="60" w:before="60"/>
            </w:pPr>
            <w:r>
              <w:rPr>
                <w:sz w:val="20"/>
              </w:rPr>
              <w:t>Formal run</w:t>
            </w:r>
          </w:p>
        </w:tc>
        <w:tc>
          <w:tcPr>
            <w:tcW w:type="dxa" w:w="7992"/>
          </w:tcPr>
          <w:p>
            <w:pPr>
              <w:spacing w:after="60" w:before="60"/>
            </w:pPr>
            <w:r>
              <w:rPr>
                <w:sz w:val="20"/>
              </w:rPr>
              <w:t>8,992,891 tokens; 78.59 elapsed minutes</w:t>
            </w:r>
          </w:p>
        </w:tc>
      </w:tr>
      <w:tr>
        <w:tc>
          <w:tcPr>
            <w:tcW w:type="dxa" w:w="2088"/>
          </w:tcPr>
          <w:p>
            <w:pPr>
              <w:spacing w:after="60" w:before="60"/>
            </w:pPr>
            <w:r>
              <w:rPr>
                <w:sz w:val="20"/>
              </w:rPr>
              <w:t>Separate audit</w:t>
            </w:r>
          </w:p>
        </w:tc>
        <w:tc>
          <w:tcPr>
            <w:tcW w:type="dxa" w:w="7992"/>
          </w:tcPr>
          <w:p>
            <w:pPr>
              <w:spacing w:after="60" w:before="60"/>
            </w:pPr>
            <w:r>
              <w:rPr>
                <w:sz w:val="20"/>
              </w:rPr>
              <w:t>13,086,633 tokens; 20.85 elapsed minutes</w:t>
            </w:r>
          </w:p>
        </w:tc>
      </w:tr>
      <w:tr>
        <w:tc>
          <w:tcPr>
            <w:tcW w:type="dxa" w:w="2088"/>
          </w:tcPr>
          <w:p>
            <w:pPr>
              <w:spacing w:after="60" w:before="60"/>
            </w:pPr>
            <w:r>
              <w:rPr>
                <w:sz w:val="20"/>
              </w:rPr>
              <w:t>Unavailable measures</w:t>
            </w:r>
          </w:p>
        </w:tc>
        <w:tc>
          <w:tcPr>
            <w:tcW w:type="dxa" w:w="7992"/>
          </w:tcPr>
          <w:p>
            <w:pPr>
              <w:spacing w:after="60" w:before="60"/>
            </w:pPr>
            <w:r>
              <w:rPr>
                <w:sz w:val="20"/>
              </w:rPr>
              <w:t>Fees; human review minutes; active agent time; target coverage</w:t>
            </w:r>
          </w:p>
        </w:tc>
      </w:tr>
    </w:tbl>
    <w:p>
      <w:pPr>
        <w:spacing w:before="140"/>
      </w:pPr>
      <w:r>
        <w:t xml:space="preserve">Experiment commits: </w:t>
      </w:r>
      <w:hyperlink r:id="rId10">
        <w:r>
          <w:rPr>
            <w:color w:val="145DA0"/>
          </w:rPr>
          <w:t>2176881 design</w:t>
        </w:r>
      </w:hyperlink>
      <w:r>
        <w:t xml:space="preserve">; </w:t>
      </w:r>
      <w:hyperlink r:id="rId11">
        <w:r>
          <w:rPr>
            <w:color w:val="145DA0"/>
          </w:rPr>
          <w:t>63e239b implementation</w:t>
        </w:r>
      </w:hyperlink>
      <w:r>
        <w:t xml:space="preserve">; </w:t>
      </w:r>
      <w:hyperlink r:id="rId12">
        <w:r>
          <w:rPr>
            <w:color w:val="145DA0"/>
          </w:rPr>
          <w:t>b574538 tested source</w:t>
        </w:r>
      </w:hyperlink>
      <w:r>
        <w:t xml:space="preserve">; </w:t>
      </w:r>
      <w:hyperlink r:id="rId13">
        <w:r>
          <w:rPr>
            <w:color w:val="145DA0"/>
          </w:rPr>
          <w:t>8b0fae1 final evidence</w:t>
        </w:r>
      </w:hyperlink>
    </w:p>
    <w:p>
      <w:pPr>
        <w:pStyle w:val="Heading1"/>
      </w:pPr>
      <w:r>
        <w:t>Appendix B Evidence and log references</w:t>
      </w:r>
    </w:p>
    <w:p>
      <w:r>
        <w:t>Links pin immutable GitHub revisions. English prompts are retrospective presentations; original Chinese messages and machine records retain their wording. Public transformations and hashes are in E10. Visible exports cover available records, not a complete platform transcript.</w:t>
      </w:r>
    </w:p>
    <w:p>
      <w:hyperlink r:id="rId9">
        <w:r>
          <w:rPr>
            <w:color w:val="145DA0"/>
          </w:rPr>
          <w:t>Open the full appendix with repository paths and line ranges</w:t>
        </w:r>
      </w:hyperlink>
    </w:p>
    <w:p>
      <w:pPr>
        <w:pStyle w:val="Heading2"/>
      </w:pPr>
      <w:r>
        <w:t>E1 Frozen baseline</w:t>
      </w:r>
    </w:p>
    <w:p>
      <w:pPr>
        <w:spacing w:after="60"/>
      </w:pPr>
      <w:hyperlink r:id="rId14">
        <w:r>
          <w:rPr>
            <w:color w:val="145DA0"/>
          </w:rPr>
          <w:t>Baseline measurements  |  BASELINE.md  |  lines 1–51</w:t>
        </w:r>
      </w:hyperlink>
    </w:p>
    <w:p>
      <w:pPr>
        <w:spacing w:after="60"/>
      </w:pPr>
      <w:hyperlink r:id="rId15">
        <w:r>
          <w:rPr>
            <w:color w:val="145DA0"/>
          </w:rPr>
          <w:t>Machine baseline  |  baseline.json  |  lines 1–103</w:t>
        </w:r>
      </w:hyperlink>
    </w:p>
    <w:p>
      <w:pPr>
        <w:pStyle w:val="Heading2"/>
      </w:pPr>
      <w:r>
        <w:t>E2 Instructions and human decisions</w:t>
      </w:r>
    </w:p>
    <w:p>
      <w:pPr>
        <w:spacing w:after="60"/>
      </w:pPr>
      <w:hyperlink r:id="rId16">
        <w:r>
          <w:rPr>
            <w:color w:val="145DA0"/>
          </w:rPr>
          <w:t>Retrospective English presentation  |  Prompts_EN.md  |  lines 1–165</w:t>
        </w:r>
      </w:hyperlink>
    </w:p>
    <w:p>
      <w:pPr>
        <w:spacing w:after="60"/>
      </w:pPr>
      <w:hyperlink r:id="rId17">
        <w:r>
          <w:rPr>
            <w:color w:val="145DA0"/>
          </w:rPr>
          <w:t>Chinese Phase A prompt  |  Phase_A_Original_ZH.txt  |  lines 1–28</w:t>
        </w:r>
      </w:hyperlink>
    </w:p>
    <w:p>
      <w:pPr>
        <w:spacing w:after="60"/>
      </w:pPr>
      <w:hyperlink r:id="rId18">
        <w:r>
          <w:rPr>
            <w:color w:val="145DA0"/>
          </w:rPr>
          <w:t>Recorded decisions  |  WF5-decisions.md  |  lines 1–26</w:t>
        </w:r>
      </w:hyperlink>
    </w:p>
    <w:p>
      <w:pPr>
        <w:pStyle w:val="Heading2"/>
      </w:pPr>
      <w:r>
        <w:t>E3 Visible execution history</w:t>
      </w:r>
    </w:p>
    <w:p>
      <w:pPr>
        <w:spacing w:after="60"/>
      </w:pPr>
      <w:hyperlink r:id="rId19">
        <w:r>
          <w:rPr>
            <w:color w:val="145DA0"/>
          </w:rPr>
          <w:t>Phase A visible records  |  Phase_A_Visible_Through_Final.jsonl  |  lines 1–42</w:t>
        </w:r>
      </w:hyperlink>
    </w:p>
    <w:p>
      <w:pPr>
        <w:spacing w:after="60"/>
      </w:pPr>
      <w:hyperlink r:id="rId20">
        <w:r>
          <w:rPr>
            <w:color w:val="145DA0"/>
          </w:rPr>
          <w:t>Phase B visible records  |  Phase_B_Visible_Through_Final.jsonl  |  lines 1–101</w:t>
        </w:r>
      </w:hyperlink>
    </w:p>
    <w:p>
      <w:pPr>
        <w:pStyle w:val="Heading2"/>
      </w:pPr>
      <w:r>
        <w:t>E4 Plan and proposed rules</w:t>
      </w:r>
    </w:p>
    <w:p>
      <w:pPr>
        <w:spacing w:after="60"/>
      </w:pPr>
      <w:hyperlink r:id="rId21">
        <w:r>
          <w:rPr>
            <w:color w:val="145DA0"/>
          </w:rPr>
          <w:t>Experiment plan  |  WF5-plan.md  |  lines 1–113</w:t>
        </w:r>
      </w:hyperlink>
    </w:p>
    <w:p>
      <w:pPr>
        <w:spacing w:after="60"/>
      </w:pPr>
      <w:hyperlink r:id="rId22">
        <w:r>
          <w:rPr>
            <w:color w:val="145DA0"/>
          </w:rPr>
          <w:t>Proposed rule catalogue  |  WF5-conversion-rules.md  |  lines 1–952</w:t>
        </w:r>
      </w:hyperlink>
    </w:p>
    <w:p>
      <w:pPr>
        <w:pStyle w:val="Heading2"/>
      </w:pPr>
      <w:r>
        <w:t>E5 Fixed samples and stopping decision</w:t>
      </w:r>
    </w:p>
    <w:p>
      <w:pPr>
        <w:spacing w:after="60"/>
      </w:pPr>
      <w:hyperlink r:id="rId23">
        <w:r>
          <w:rPr>
            <w:color w:val="145DA0"/>
          </w:rPr>
          <w:t>Gate 2 record  |  WF5-Gate-2-review.md  |  lines 1–46</w:t>
        </w:r>
      </w:hyperlink>
    </w:p>
    <w:p>
      <w:pPr>
        <w:spacing w:after="60"/>
      </w:pPr>
      <w:hyperlink r:id="rId24">
        <w:r>
          <w:rPr>
            <w:color w:val="145DA0"/>
          </w:rPr>
          <w:t>Selected sample results  |  round-3-revision-4-results.json  |  lines 1–132</w:t>
        </w:r>
      </w:hyperlink>
    </w:p>
    <w:p>
      <w:r>
        <w:t>Source: 4b9ca06; evaluator: 758351a. Checks tested b574538; 8b0fae1 records the stop. Publication does not alter the outcome. Place WF5 in Workflows and Evaluation, excluding rewrite work from the semester contribution summary.</w:t>
      </w:r>
    </w:p>
    <w:p>
      <w:r>
        <w:br w:type="page"/>
      </w:r>
    </w:p>
    <w:p>
      <w:pPr>
        <w:pStyle w:val="Heading1"/>
      </w:pPr>
      <w:r>
        <w:t>Appendix B Supporting logs and accounting</w:t>
      </w:r>
    </w:p>
    <w:p>
      <w:pPr>
        <w:pStyle w:val="Heading2"/>
      </w:pPr>
      <w:r>
        <w:t>E6 Final implementation checks</w:t>
      </w:r>
    </w:p>
    <w:p>
      <w:pPr>
        <w:spacing w:after="60"/>
      </w:pPr>
      <w:hyperlink r:id="rId25">
        <w:r>
          <w:rPr>
            <w:color w:val="145DA0"/>
          </w:rPr>
          <w:t>Commands timings and exit codes  |  check-results.json  |  lines 1–96</w:t>
        </w:r>
      </w:hyperlink>
    </w:p>
    <w:p>
      <w:pPr>
        <w:spacing w:after="60"/>
      </w:pPr>
      <w:hyperlink r:id="rId26">
        <w:r>
          <w:rPr>
            <w:color w:val="145DA0"/>
          </w:rPr>
          <w:t>36 unit test results  |  unit-results.json  |  lines 1–528</w:t>
        </w:r>
      </w:hyperlink>
    </w:p>
    <w:p>
      <w:pPr>
        <w:spacing w:after="60"/>
      </w:pPr>
      <w:hyperlink r:id="rId27">
        <w:r>
          <w:rPr>
            <w:color w:val="145DA0"/>
          </w:rPr>
          <w:t>20 rule checks  |  rules.log  |  lines 1–29</w:t>
        </w:r>
      </w:hyperlink>
    </w:p>
    <w:p>
      <w:pPr>
        <w:spacing w:after="60"/>
      </w:pPr>
      <w:hyperlink r:id="rId28">
        <w:r>
          <w:rPr>
            <w:color w:val="145DA0"/>
          </w:rPr>
          <w:t>Type checker log  |  types.log  |  lines 1–1</w:t>
        </w:r>
      </w:hyperlink>
    </w:p>
    <w:p>
      <w:pPr>
        <w:spacing w:after="60"/>
      </w:pPr>
      <w:hyperlink r:id="rId29">
        <w:r>
          <w:rPr>
            <w:color w:val="145DA0"/>
          </w:rPr>
          <w:t>Lint log  |  lint.log  |  lines 1–1</w:t>
        </w:r>
      </w:hyperlink>
    </w:p>
    <w:p>
      <w:pPr>
        <w:spacing w:after="60"/>
      </w:pPr>
      <w:hyperlink r:id="rId30">
        <w:r>
          <w:rPr>
            <w:color w:val="145DA0"/>
          </w:rPr>
          <w:t>SPA build log  |  build.log  |  lines 1–11</w:t>
        </w:r>
      </w:hyperlink>
    </w:p>
    <w:p>
      <w:pPr>
        <w:spacing w:after="60"/>
      </w:pPr>
      <w:hyperlink r:id="rId31">
        <w:r>
          <w:rPr>
            <w:color w:val="145DA0"/>
          </w:rPr>
          <w:t>Component build log  |  build-components.log  |  lines 1–9</w:t>
        </w:r>
      </w:hyperlink>
    </w:p>
    <w:p>
      <w:pPr>
        <w:pStyle w:val="Heading2"/>
      </w:pPr>
      <w:r>
        <w:t>E7 Failure history</w:t>
      </w:r>
    </w:p>
    <w:p>
      <w:pPr>
        <w:spacing w:after="60"/>
      </w:pPr>
      <w:hyperlink r:id="rId32">
        <w:r>
          <w:rPr>
            <w:color w:val="145DA0"/>
          </w:rPr>
          <w:t>windows-lint/check-results.json  |  check-results.json  |  lines 1–82</w:t>
        </w:r>
      </w:hyperlink>
    </w:p>
    <w:p>
      <w:pPr>
        <w:spacing w:after="60"/>
      </w:pPr>
      <w:hyperlink r:id="rId33">
        <w:r>
          <w:rPr>
            <w:color w:val="145DA0"/>
          </w:rPr>
          <w:t>windows-lint/lint.log  |  lint.log  |  lines 1–7</w:t>
        </w:r>
      </w:hyperlink>
    </w:p>
    <w:p>
      <w:pPr>
        <w:spacing w:after="60"/>
      </w:pPr>
      <w:hyperlink r:id="rId34">
        <w:r>
          <w:rPr>
            <w:color w:val="145DA0"/>
          </w:rPr>
          <w:t>wsl-attempt-2/wsl-build-components.log  |  wsl-build-components.log  |  lines 1–22</w:t>
        </w:r>
      </w:hyperlink>
    </w:p>
    <w:p>
      <w:pPr>
        <w:spacing w:after="60"/>
      </w:pPr>
      <w:hyperlink r:id="rId35">
        <w:r>
          <w:rPr>
            <w:color w:val="145DA0"/>
          </w:rPr>
          <w:t>wsl-attempt-2/wsl-check-results.json  |  wsl-check-results.json  |  lines 1–96</w:t>
        </w:r>
      </w:hyperlink>
    </w:p>
    <w:p>
      <w:pPr>
        <w:spacing w:after="60"/>
      </w:pPr>
      <w:hyperlink r:id="rId36">
        <w:r>
          <w:rPr>
            <w:color w:val="145DA0"/>
          </w:rPr>
          <w:t>wsl-attempt-2/wsl-environment.txt  |  wsl-environment.txt  |  lines 1–3</w:t>
        </w:r>
      </w:hyperlink>
    </w:p>
    <w:p>
      <w:pPr>
        <w:spacing w:after="60"/>
      </w:pPr>
      <w:hyperlink r:id="rId37">
        <w:r>
          <w:rPr>
            <w:color w:val="145DA0"/>
          </w:rPr>
          <w:t>wsl-attempt-2/wsl-types.log  |  wsl-types.log  |  lines 1–2</w:t>
        </w:r>
      </w:hyperlink>
    </w:p>
    <w:p>
      <w:pPr>
        <w:spacing w:after="60"/>
      </w:pPr>
      <w:hyperlink r:id="rId38">
        <w:r>
          <w:rPr>
            <w:color w:val="145DA0"/>
          </w:rPr>
          <w:t>wsl-attempt-2/wsl-unit.log  |  wsl-unit.log  |  lines 1–46</w:t>
        </w:r>
      </w:hyperlink>
    </w:p>
    <w:p>
      <w:pPr>
        <w:pStyle w:val="Heading2"/>
      </w:pPr>
      <w:r>
        <w:t>E8 Independent audit</w:t>
      </w:r>
    </w:p>
    <w:p>
      <w:pPr>
        <w:spacing w:after="60"/>
      </w:pPr>
      <w:hyperlink r:id="rId39">
        <w:r>
          <w:rPr>
            <w:color w:val="145DA0"/>
          </w:rPr>
          <w:t>Audit findings  |  Summary_EN.md  |  lines 1–148</w:t>
        </w:r>
      </w:hyperlink>
    </w:p>
    <w:p>
      <w:pPr>
        <w:spacing w:after="60"/>
      </w:pPr>
      <w:hyperlink r:id="rId40">
        <w:r>
          <w:rPr>
            <w:color w:val="145DA0"/>
          </w:rPr>
          <w:t>19 fault and control cases  |  fault-results.json  |  lines 1–400</w:t>
        </w:r>
      </w:hyperlink>
    </w:p>
    <w:p>
      <w:pPr>
        <w:spacing w:after="60"/>
      </w:pPr>
      <w:hyperlink r:id="rId41">
        <w:r>
          <w:rPr>
            <w:color w:val="145DA0"/>
          </w:rPr>
          <w:t>16 behavior probes  |  probe-results.json  |  lines 1–251</w:t>
        </w:r>
      </w:hyperlink>
    </w:p>
    <w:p>
      <w:pPr>
        <w:spacing w:after="60"/>
      </w:pPr>
      <w:hyperlink r:id="rId42">
        <w:r>
          <w:rPr>
            <w:color w:val="145DA0"/>
          </w:rPr>
          <w:t>Probe command  |  probe-command.json  |  lines 1–18</w:t>
        </w:r>
      </w:hyperlink>
    </w:p>
    <w:p>
      <w:pPr>
        <w:spacing w:after="60"/>
      </w:pPr>
      <w:hyperlink r:id="rId43">
        <w:r>
          <w:rPr>
            <w:color w:val="145DA0"/>
          </w:rPr>
          <w:t>Audit routine checks  |  check-results.json  |  lines 1–105</w:t>
        </w:r>
      </w:hyperlink>
    </w:p>
    <w:p>
      <w:pPr>
        <w:pStyle w:val="Heading2"/>
      </w:pPr>
      <w:r>
        <w:t>E9 Usage and elapsed time</w:t>
      </w:r>
    </w:p>
    <w:p>
      <w:pPr>
        <w:spacing w:after="60"/>
      </w:pPr>
      <w:hyperlink r:id="rId44">
        <w:r>
          <w:rPr>
            <w:color w:val="145DA0"/>
          </w:rPr>
          <w:t>Accounting interpretation  |  Accounting_EN.md  |  lines 1–102</w:t>
        </w:r>
      </w:hyperlink>
    </w:p>
    <w:p>
      <w:pPr>
        <w:spacing w:after="60"/>
      </w:pPr>
      <w:hyperlink r:id="rId45">
        <w:r>
          <w:rPr>
            <w:color w:val="145DA0"/>
          </w:rPr>
          <w:t>Sealed formal counters  |  Sealed_R2_Accounting_Extract.json  |  lines 1–62</w:t>
        </w:r>
      </w:hyperlink>
    </w:p>
    <w:p>
      <w:pPr>
        <w:spacing w:after="60"/>
      </w:pPr>
      <w:hyperlink r:id="rId46">
        <w:r>
          <w:rPr>
            <w:color w:val="145DA0"/>
          </w:rPr>
          <w:t>Separate audit usage  |  audit-usage-summary.json  |  lines 1–362</w:t>
        </w:r>
      </w:hyperlink>
    </w:p>
    <w:p>
      <w:pPr>
        <w:pStyle w:val="Heading2"/>
      </w:pPr>
      <w:r>
        <w:t>E10 Provenance and public evidence</w:t>
      </w:r>
    </w:p>
    <w:p>
      <w:pPr>
        <w:spacing w:after="60"/>
      </w:pPr>
      <w:hyperlink r:id="rId47">
        <w:r>
          <w:rPr>
            <w:color w:val="145DA0"/>
          </w:rPr>
          <w:t>Artifact preservation map  |  publication-rename.json  |  lines 1–483</w:t>
        </w:r>
      </w:hyperlink>
    </w:p>
    <w:p>
      <w:pPr>
        <w:spacing w:after="60"/>
      </w:pPr>
      <w:hyperlink r:id="rId48">
        <w:r>
          <w:rPr>
            <w:color w:val="145DA0"/>
          </w:rPr>
          <w:t>Original and public file hashes  |  PUBLIC_MANIFEST.json  |  lines 1–1105</w:t>
        </w:r>
      </w:hyperlink>
    </w:p>
    <w:p>
      <w:pPr>
        <w:spacing w:after="60"/>
      </w:pPr>
      <w:hyperlink r:id="rId49">
        <w:r>
          <w:rPr>
            <w:color w:val="145DA0"/>
          </w:rPr>
          <w:t>Distributed checksums  |  SHA256SUMS.txt  |  lines 1–111</w:t>
        </w:r>
      </w:hyperlink>
    </w:p>
    <w:p>
      <w:pPr>
        <w:spacing w:after="60"/>
      </w:pPr>
      <w:hyperlink r:id="rId50">
        <w:r>
          <w:rPr>
            <w:color w:val="145DA0"/>
          </w:rPr>
          <w:t>Public transformations  |  Redactions_EN.md  |  lines 1–18</w:t>
        </w:r>
      </w:hyperlink>
    </w:p>
    <w:sectPr w:rsidR="00FC693F" w:rsidRPr="0006063C" w:rsidSect="00034616">
      <w:footerReference w:type="default" r:id="rId51"/>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WF5 report material  |  16 October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4" w:lineRule="auto"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Calibri" w:hAnsi="Calibr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pPr>
    <w:rPr>
      <w:rFonts w:asciiTheme="majorHAnsi" w:eastAsiaTheme="majorEastAsia" w:hAnsiTheme="majorHAnsi" w:cstheme="majorBidi" w:ascii="Calibri" w:hAnsi="Calibr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Frank-Ping/mealie/blob/453b467d6a7f904a5ca9810f94223d9e22d05671/rewrite-evidence/workflows/WF5/Report_Appendix_EN.md" TargetMode="External"/><Relationship Id="rId10" Type="http://schemas.openxmlformats.org/officeDocument/2006/relationships/hyperlink" Target="https://github.com/Frank-Ping/mealie/commit/2176881a9810633a8de7753456dbd63ee44b27c6" TargetMode="External"/><Relationship Id="rId11" Type="http://schemas.openxmlformats.org/officeDocument/2006/relationships/hyperlink" Target="https://github.com/Frank-Ping/mealie/commit/63e239bb35fab4b53fc8d913b284dfa43edec5a9" TargetMode="External"/><Relationship Id="rId12" Type="http://schemas.openxmlformats.org/officeDocument/2006/relationships/hyperlink" Target="https://github.com/Frank-Ping/mealie/commit/b57453838ef770a32188159350d5f9971f8b94e1" TargetMode="External"/><Relationship Id="rId13" Type="http://schemas.openxmlformats.org/officeDocument/2006/relationships/hyperlink" Target="https://github.com/Frank-Ping/mealie/commit/8b0fae128ea823ebee4a6507d274df1f8987e8d1" TargetMode="External"/><Relationship Id="rId14" Type="http://schemas.openxmlformats.org/officeDocument/2006/relationships/hyperlink" Target="https://github.com/Frank-Ping/mealie/blob/1580f5b9324dde6f64a7e96652edb8c441d759a4/rewrite-evidence/workflows/WF5/evidence/baseline/BASELINE.md#L1-L51" TargetMode="External"/><Relationship Id="rId15" Type="http://schemas.openxmlformats.org/officeDocument/2006/relationships/hyperlink" Target="https://github.com/Frank-Ping/mealie/blob/1580f5b9324dde6f64a7e96652edb8c441d759a4/rewrite-evidence/workflows/WF5/evidence/baseline/baseline.json#L1-L103" TargetMode="External"/><Relationship Id="rId16" Type="http://schemas.openxmlformats.org/officeDocument/2006/relationships/hyperlink" Target="https://github.com/Frank-Ping/mealie/blob/1580f5b9324dde6f64a7e96652edb8c441d759a4/rewrite-evidence/workflows/WF5/prompts/Prompts_EN.md#L1-L165" TargetMode="External"/><Relationship Id="rId17" Type="http://schemas.openxmlformats.org/officeDocument/2006/relationships/hyperlink" Target="https://github.com/Frank-Ping/mealie/blob/1580f5b9324dde6f64a7e96652edb8c441d759a4/rewrite-evidence/workflows/WF5/prompts/Phase_A_Original_ZH.txt#L1-L28" TargetMode="External"/><Relationship Id="rId18" Type="http://schemas.openxmlformats.org/officeDocument/2006/relationships/hyperlink" Target="https://github.com/Frank-Ping/mealie/blob/1580f5b9324dde6f64a7e96652edb8c441d759a4/rewrite-evidence/workflows/WF5-decisions.md#L1-L26" TargetMode="External"/><Relationship Id="rId19" Type="http://schemas.openxmlformats.org/officeDocument/2006/relationships/hyperlink" Target="https://github.com/Frank-Ping/mealie/blob/1580f5b9324dde6f64a7e96652edb8c441d759a4/rewrite-evidence/workflows/WF5/evidence/transcripts/Phase_A_Visible_Through_Final.jsonl#L1-L42" TargetMode="External"/><Relationship Id="rId20" Type="http://schemas.openxmlformats.org/officeDocument/2006/relationships/hyperlink" Target="https://github.com/Frank-Ping/mealie/blob/1580f5b9324dde6f64a7e96652edb8c441d759a4/rewrite-evidence/workflows/WF5/evidence/transcripts/Phase_B_Visible_Through_Final.jsonl#L1-L101" TargetMode="External"/><Relationship Id="rId21" Type="http://schemas.openxmlformats.org/officeDocument/2006/relationships/hyperlink" Target="https://github.com/Frank-Ping/mealie/blob/1580f5b9324dde6f64a7e96652edb8c441d759a4/rewrite-evidence/workflows/WF5-plan.md#L1-L113" TargetMode="External"/><Relationship Id="rId22" Type="http://schemas.openxmlformats.org/officeDocument/2006/relationships/hyperlink" Target="https://github.com/Frank-Ping/mealie/blob/1580f5b9324dde6f64a7e96652edb8c441d759a4/rewrite-evidence/workflows/WF5-conversion-rules.md#L1-L952" TargetMode="External"/><Relationship Id="rId23" Type="http://schemas.openxmlformats.org/officeDocument/2006/relationships/hyperlink" Target="https://github.com/Frank-Ping/mealie/blob/1580f5b9324dde6f64a7e96652edb8c441d759a4/rewrite-evidence/workflows/WF5-Gate-2-review.md#L1-L46" TargetMode="External"/><Relationship Id="rId24" Type="http://schemas.openxmlformats.org/officeDocument/2006/relationships/hyperlink" Target="https://github.com/Frank-Ping/mealie/blob/1580f5b9324dde6f64a7e96652edb8c441d759a4/rewrite-evidence/workflows/WF5-B/round-3-revision-4-results.json#L1-L132" TargetMode="External"/><Relationship Id="rId25" Type="http://schemas.openxmlformats.org/officeDocument/2006/relationships/hyperlink" Target="https://github.com/Frank-Ping/mealie/blob/1580f5b9324dde6f64a7e96652edb8c441d759a4/rewrite-evidence/workflows/WF5/evidence/implementation-checks/final-wsl/check-results.json#L1-L96" TargetMode="External"/><Relationship Id="rId26" Type="http://schemas.openxmlformats.org/officeDocument/2006/relationships/hyperlink" Target="https://github.com/Frank-Ping/mealie/blob/1580f5b9324dde6f64a7e96652edb8c441d759a4/rewrite-evidence/workflows/WF5/evidence/implementation-checks/final-wsl/unit-results.json#L1-L528" TargetMode="External"/><Relationship Id="rId27" Type="http://schemas.openxmlformats.org/officeDocument/2006/relationships/hyperlink" Target="https://github.com/Frank-Ping/mealie/blob/1580f5b9324dde6f64a7e96652edb8c441d759a4/rewrite-evidence/workflows/WF5/evidence/implementation-checks/final-wsl/rules.log#L1-L29" TargetMode="External"/><Relationship Id="rId28" Type="http://schemas.openxmlformats.org/officeDocument/2006/relationships/hyperlink" Target="https://github.com/Frank-Ping/mealie/blob/1580f5b9324dde6f64a7e96652edb8c441d759a4/rewrite-evidence/workflows/WF5/evidence/implementation-checks/final-wsl/types.log#L1-L1" TargetMode="External"/><Relationship Id="rId29" Type="http://schemas.openxmlformats.org/officeDocument/2006/relationships/hyperlink" Target="https://github.com/Frank-Ping/mealie/blob/1580f5b9324dde6f64a7e96652edb8c441d759a4/rewrite-evidence/workflows/WF5/evidence/implementation-checks/final-wsl/lint.log#L1-L1" TargetMode="External"/><Relationship Id="rId30" Type="http://schemas.openxmlformats.org/officeDocument/2006/relationships/hyperlink" Target="https://github.com/Frank-Ping/mealie/blob/1580f5b9324dde6f64a7e96652edb8c441d759a4/rewrite-evidence/workflows/WF5/evidence/implementation-checks/final-wsl/build.log#L1-L11" TargetMode="External"/><Relationship Id="rId31" Type="http://schemas.openxmlformats.org/officeDocument/2006/relationships/hyperlink" Target="https://github.com/Frank-Ping/mealie/blob/1580f5b9324dde6f64a7e96652edb8c441d759a4/rewrite-evidence/workflows/WF5/evidence/implementation-checks/final-wsl/build-components.log#L1-L9" TargetMode="External"/><Relationship Id="rId32" Type="http://schemas.openxmlformats.org/officeDocument/2006/relationships/hyperlink" Target="https://github.com/Frank-Ping/mealie/blob/1580f5b9324dde6f64a7e96652edb8c441d759a4/rewrite-evidence/workflows/WF5/evidence/implementation-checks/failure-history/windows-lint/check-results.json#L1-L82" TargetMode="External"/><Relationship Id="rId33" Type="http://schemas.openxmlformats.org/officeDocument/2006/relationships/hyperlink" Target="https://github.com/Frank-Ping/mealie/blob/1580f5b9324dde6f64a7e96652edb8c441d759a4/rewrite-evidence/workflows/WF5/evidence/implementation-checks/failure-history/windows-lint/lint.log#L1-L7" TargetMode="External"/><Relationship Id="rId34" Type="http://schemas.openxmlformats.org/officeDocument/2006/relationships/hyperlink" Target="https://github.com/Frank-Ping/mealie/blob/1580f5b9324dde6f64a7e96652edb8c441d759a4/rewrite-evidence/workflows/WF5/evidence/implementation-checks/failure-history/wsl-attempt-2/wsl-build-components.log#L1-L22" TargetMode="External"/><Relationship Id="rId35" Type="http://schemas.openxmlformats.org/officeDocument/2006/relationships/hyperlink" Target="https://github.com/Frank-Ping/mealie/blob/1580f5b9324dde6f64a7e96652edb8c441d759a4/rewrite-evidence/workflows/WF5/evidence/implementation-checks/failure-history/wsl-attempt-2/wsl-check-results.json#L1-L96" TargetMode="External"/><Relationship Id="rId36" Type="http://schemas.openxmlformats.org/officeDocument/2006/relationships/hyperlink" Target="https://github.com/Frank-Ping/mealie/blob/1580f5b9324dde6f64a7e96652edb8c441d759a4/rewrite-evidence/workflows/WF5/evidence/implementation-checks/failure-history/wsl-attempt-2/wsl-environment.txt#L1-L3" TargetMode="External"/><Relationship Id="rId37" Type="http://schemas.openxmlformats.org/officeDocument/2006/relationships/hyperlink" Target="https://github.com/Frank-Ping/mealie/blob/1580f5b9324dde6f64a7e96652edb8c441d759a4/rewrite-evidence/workflows/WF5/evidence/implementation-checks/failure-history/wsl-attempt-2/wsl-types.log#L1-L2" TargetMode="External"/><Relationship Id="rId38" Type="http://schemas.openxmlformats.org/officeDocument/2006/relationships/hyperlink" Target="https://github.com/Frank-Ping/mealie/blob/1580f5b9324dde6f64a7e96652edb8c441d759a4/rewrite-evidence/workflows/WF5/evidence/implementation-checks/failure-history/wsl-attempt-2/wsl-unit.log#L1-L46" TargetMode="External"/><Relationship Id="rId39" Type="http://schemas.openxmlformats.org/officeDocument/2006/relationships/hyperlink" Target="https://github.com/Frank-Ping/mealie/blob/1580f5b9324dde6f64a7e96652edb8c441d759a4/rewrite-evidence/workflows/WF5/evidence/post-stop-audit/Summary_EN.md#L1-L148" TargetMode="External"/><Relationship Id="rId40" Type="http://schemas.openxmlformats.org/officeDocument/2006/relationships/hyperlink" Target="https://github.com/Frank-Ping/mealie/blob/1580f5b9324dde6f64a7e96652edb8c441d759a4/rewrite-evidence/workflows/WF5/evidence/post-stop-audit/fault-results.json#L1-L400" TargetMode="External"/><Relationship Id="rId41" Type="http://schemas.openxmlformats.org/officeDocument/2006/relationships/hyperlink" Target="https://github.com/Frank-Ping/mealie/blob/1580f5b9324dde6f64a7e96652edb8c441d759a4/rewrite-evidence/workflows/WF5/evidence/post-stop-audit/probe-results.json#L1-L251" TargetMode="External"/><Relationship Id="rId42" Type="http://schemas.openxmlformats.org/officeDocument/2006/relationships/hyperlink" Target="https://github.com/Frank-Ping/mealie/blob/1580f5b9324dde6f64a7e96652edb8c441d759a4/rewrite-evidence/workflows/WF5/evidence/post-stop-audit/probe-command.json#L1-L18" TargetMode="External"/><Relationship Id="rId43" Type="http://schemas.openxmlformats.org/officeDocument/2006/relationships/hyperlink" Target="https://github.com/Frank-Ping/mealie/blob/1580f5b9324dde6f64a7e96652edb8c441d759a4/rewrite-evidence/workflows/WF5/evidence/post-stop-audit/check-results.json#L1-L105" TargetMode="External"/><Relationship Id="rId44" Type="http://schemas.openxmlformats.org/officeDocument/2006/relationships/hyperlink" Target="https://github.com/Frank-Ping/mealie/blob/1580f5b9324dde6f64a7e96652edb8c441d759a4/rewrite-evidence/workflows/WF5/evidence/accounting/Accounting_EN.md#L1-L102" TargetMode="External"/><Relationship Id="rId45" Type="http://schemas.openxmlformats.org/officeDocument/2006/relationships/hyperlink" Target="https://github.com/Frank-Ping/mealie/blob/1580f5b9324dde6f64a7e96652edb8c441d759a4/rewrite-evidence/workflows/WF5/evidence/accounting/Sealed_R2_Accounting_Extract.json#L1-L62" TargetMode="External"/><Relationship Id="rId46" Type="http://schemas.openxmlformats.org/officeDocument/2006/relationships/hyperlink" Target="https://github.com/Frank-Ping/mealie/blob/1580f5b9324dde6f64a7e96652edb8c441d759a4/rewrite-evidence/workflows/WF5/evidence/accounting/audit-usage-summary.json#L1-L362" TargetMode="External"/><Relationship Id="rId47" Type="http://schemas.openxmlformats.org/officeDocument/2006/relationships/hyperlink" Target="https://github.com/Frank-Ping/mealie/blob/1580f5b9324dde6f64a7e96652edb8c441d759a4/rewrite-evidence/workflows/WF5/provenance/publication-rename.json#L1-L483" TargetMode="External"/><Relationship Id="rId48" Type="http://schemas.openxmlformats.org/officeDocument/2006/relationships/hyperlink" Target="https://github.com/Frank-Ping/mealie/blob/1580f5b9324dde6f64a7e96652edb8c441d759a4/rewrite-evidence/workflows/WF5/evidence/PUBLIC_MANIFEST.json#L1-L1105" TargetMode="External"/><Relationship Id="rId49" Type="http://schemas.openxmlformats.org/officeDocument/2006/relationships/hyperlink" Target="https://github.com/Frank-Ping/mealie/blob/1580f5b9324dde6f64a7e96652edb8c441d759a4/rewrite-evidence/workflows/WF5/evidence/SHA256SUMS.txt#L1-L111" TargetMode="External"/><Relationship Id="rId50" Type="http://schemas.openxmlformats.org/officeDocument/2006/relationships/hyperlink" Target="https://github.com/Frank-Ping/mealie/blob/1580f5b9324dde6f64a7e96652edb8c441d759a4/rewrite-evidence/workflows/WF5/evidence/Redactions_EN.md#L1-L18" TargetMode="External"/><Relationship Id="rId5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WF5 Rule driven migration evaluation</dc:title>
  <dc:subject>Report subsection and evidence appendix for the stopped WF5 experiment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