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7A8" w:rsidRDefault="008F0DB6">
      <w:pPr>
        <w:pStyle w:val="a9"/>
        <w:ind w:firstLine="643"/>
      </w:pPr>
      <w:r>
        <w:rPr>
          <w:rFonts w:hint="eastAsia"/>
        </w:rPr>
        <w:t>openGauss-</w:t>
      </w:r>
      <w:r>
        <w:t>Oracle</w:t>
      </w:r>
      <w:r>
        <w:rPr>
          <w:rFonts w:hint="eastAsia"/>
        </w:rPr>
        <w:t>在线迁移工具支持在线迁移</w:t>
      </w:r>
      <w:r>
        <w:rPr>
          <w:rFonts w:hint="eastAsia"/>
        </w:rPr>
        <w:t>D</w:t>
      </w:r>
      <w:r>
        <w:t>DL</w:t>
      </w:r>
      <w:r>
        <w:t>语句</w:t>
      </w:r>
      <w:r>
        <w:rPr>
          <w:rFonts w:hint="eastAsia"/>
        </w:rPr>
        <w:t>开发合作项目</w:t>
      </w:r>
      <w:r w:rsidR="00B874A6"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_SOW</w:t>
      </w:r>
    </w:p>
    <w:p w:rsidR="004D37A8" w:rsidRDefault="008F0DB6">
      <w:pPr>
        <w:pStyle w:val="1"/>
      </w:pPr>
      <w:r>
        <w:t>工作范围</w:t>
      </w:r>
    </w:p>
    <w:p w:rsidR="004D37A8" w:rsidRDefault="008F0DB6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乙方将向甲方提供本工作任务书第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条所述的技术成果及服务。</w:t>
      </w:r>
    </w:p>
    <w:p w:rsidR="004D37A8" w:rsidRDefault="008F0DB6">
      <w:pPr>
        <w:pStyle w:val="1"/>
      </w:pPr>
      <w:r>
        <w:rPr>
          <w:rFonts w:hint="eastAsia"/>
        </w:rPr>
        <w:t>工作计划</w:t>
      </w:r>
    </w:p>
    <w:p w:rsidR="004D37A8" w:rsidRDefault="008F0DB6">
      <w:pPr>
        <w:pStyle w:val="2"/>
      </w:pPr>
      <w:r>
        <w:t>项目需求</w:t>
      </w:r>
    </w:p>
    <w:p w:rsidR="004D37A8" w:rsidRDefault="008F0DB6">
      <w:pPr>
        <w:snapToGrid w:val="0"/>
        <w:ind w:firstLine="482"/>
        <w:contextualSpacing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项目</w:t>
      </w:r>
      <w:r>
        <w:rPr>
          <w:rFonts w:asciiTheme="minorEastAsia" w:eastAsiaTheme="minorEastAsia" w:hAnsiTheme="minorEastAsia"/>
          <w:b/>
        </w:rPr>
        <w:t>：</w:t>
      </w:r>
      <w:r>
        <w:rPr>
          <w:rFonts w:asciiTheme="minorEastAsia" w:eastAsiaTheme="minorEastAsia" w:hAnsiTheme="minorEastAsia" w:hint="eastAsia"/>
          <w:b/>
        </w:rPr>
        <w:t>openGauss</w:t>
      </w:r>
      <w:r>
        <w:rPr>
          <w:rFonts w:asciiTheme="minorEastAsia" w:eastAsiaTheme="minorEastAsia" w:hAnsiTheme="minorEastAsia"/>
          <w:b/>
        </w:rPr>
        <w:t>-Oracle</w:t>
      </w:r>
      <w:r>
        <w:rPr>
          <w:rFonts w:asciiTheme="minorEastAsia" w:eastAsiaTheme="minorEastAsia" w:hAnsiTheme="minorEastAsia" w:hint="eastAsia"/>
          <w:b/>
        </w:rPr>
        <w:t>在线迁移支持在线迁移</w:t>
      </w:r>
      <w:r>
        <w:rPr>
          <w:rFonts w:asciiTheme="minorEastAsia" w:eastAsiaTheme="minorEastAsia" w:hAnsiTheme="minorEastAsia" w:hint="eastAsia"/>
          <w:b/>
        </w:rPr>
        <w:t>D</w:t>
      </w:r>
      <w:r>
        <w:rPr>
          <w:rFonts w:asciiTheme="minorEastAsia" w:eastAsiaTheme="minorEastAsia" w:hAnsiTheme="minorEastAsia"/>
          <w:b/>
        </w:rPr>
        <w:t>D</w:t>
      </w:r>
      <w:r>
        <w:rPr>
          <w:rFonts w:asciiTheme="minorEastAsia" w:eastAsiaTheme="minorEastAsia" w:hAnsiTheme="minorEastAsia" w:hint="eastAsia"/>
          <w:b/>
        </w:rPr>
        <w:t>L</w:t>
      </w:r>
      <w:r>
        <w:rPr>
          <w:rFonts w:asciiTheme="minorEastAsia" w:eastAsiaTheme="minorEastAsia" w:hAnsiTheme="minorEastAsia" w:hint="eastAsia"/>
          <w:b/>
        </w:rPr>
        <w:t>语句开发项目</w:t>
      </w:r>
    </w:p>
    <w:p w:rsidR="004D37A8" w:rsidRDefault="008F0DB6">
      <w:pPr>
        <w:snapToGrid w:val="0"/>
        <w:ind w:firstLine="482"/>
        <w:contextualSpacing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功能需求</w:t>
      </w:r>
      <w:r>
        <w:rPr>
          <w:rFonts w:asciiTheme="minorEastAsia" w:eastAsiaTheme="minorEastAsia" w:hAnsiTheme="minorEastAsia"/>
          <w:b/>
        </w:rPr>
        <w:t>：</w:t>
      </w:r>
      <w:r>
        <w:rPr>
          <w:rFonts w:asciiTheme="minorEastAsia" w:eastAsiaTheme="minorEastAsia" w:hAnsiTheme="minorEastAsia"/>
          <w:b/>
        </w:rPr>
        <w:t>Oracle</w:t>
      </w:r>
      <w:r>
        <w:rPr>
          <w:rFonts w:asciiTheme="minorEastAsia" w:eastAsiaTheme="minorEastAsia" w:hAnsiTheme="minorEastAsia" w:hint="eastAsia"/>
          <w:b/>
        </w:rPr>
        <w:t>在线迁移工具支持在线迁移</w:t>
      </w:r>
      <w:r>
        <w:rPr>
          <w:rFonts w:asciiTheme="minorEastAsia" w:eastAsiaTheme="minorEastAsia" w:hAnsiTheme="minorEastAsia"/>
          <w:b/>
        </w:rPr>
        <w:t>DROP/RENAME/TRUNCATE TABLE</w:t>
      </w:r>
      <w:r>
        <w:rPr>
          <w:rFonts w:asciiTheme="minorEastAsia" w:eastAsiaTheme="minorEastAsia" w:hAnsiTheme="minorEastAsia" w:hint="eastAsia"/>
          <w:b/>
        </w:rPr>
        <w:t>语</w:t>
      </w:r>
      <w:r>
        <w:rPr>
          <w:rFonts w:asciiTheme="minorEastAsia" w:eastAsiaTheme="minorEastAsia" w:hAnsiTheme="minorEastAsia"/>
          <w:b/>
        </w:rPr>
        <w:t>法</w:t>
      </w:r>
    </w:p>
    <w:p w:rsidR="004D37A8" w:rsidRDefault="008F0DB6">
      <w:pPr>
        <w:pStyle w:val="3"/>
      </w:pPr>
      <w:r>
        <w:rPr>
          <w:rFonts w:hint="eastAsia"/>
        </w:rPr>
        <w:t>需求</w:t>
      </w:r>
      <w:r>
        <w:t>描述</w:t>
      </w:r>
    </w:p>
    <w:p w:rsidR="004D37A8" w:rsidRDefault="008F0DB6">
      <w:r>
        <w:t>基于</w:t>
      </w:r>
      <w:r>
        <w:t>openGauss</w:t>
      </w:r>
      <w:r>
        <w:t>开源项目</w:t>
      </w:r>
      <w:r>
        <w:rPr>
          <w:rFonts w:asciiTheme="minorEastAsia" w:eastAsiaTheme="minorEastAsia" w:hAnsiTheme="minorEastAsia"/>
          <w:b/>
        </w:rPr>
        <w:t>onlineMigration</w:t>
      </w:r>
      <w:r>
        <w:rPr>
          <w:rFonts w:asciiTheme="minorEastAsia" w:eastAsiaTheme="minorEastAsia" w:hAnsiTheme="minorEastAsia" w:hint="eastAsia"/>
          <w:b/>
        </w:rPr>
        <w:t>（</w:t>
      </w:r>
      <w:r>
        <w:rPr>
          <w:rFonts w:asciiTheme="minorEastAsia" w:eastAsiaTheme="minorEastAsia" w:hAnsiTheme="minorEastAsia"/>
          <w:b/>
        </w:rPr>
        <w:t>https://gitee.com/opengauss/openGauss-tools-onlineMigration</w:t>
      </w:r>
      <w:r>
        <w:rPr>
          <w:rFonts w:asciiTheme="minorEastAsia" w:eastAsiaTheme="minorEastAsia" w:hAnsiTheme="minorEastAsia" w:hint="eastAsia"/>
          <w:b/>
        </w:rPr>
        <w:t>）</w:t>
      </w:r>
      <w:r>
        <w:rPr>
          <w:rFonts w:hint="eastAsia"/>
        </w:rPr>
        <w:t>，</w:t>
      </w:r>
      <w:r>
        <w:rPr>
          <w:rFonts w:hint="eastAsia"/>
          <w:b/>
        </w:rPr>
        <w:t>工具的在线迁移过程中需支持</w:t>
      </w:r>
      <w:r>
        <w:rPr>
          <w:rFonts w:hint="eastAsia"/>
          <w:b/>
        </w:rPr>
        <w:t>D</w:t>
      </w:r>
      <w:r>
        <w:rPr>
          <w:b/>
        </w:rPr>
        <w:t>DL</w:t>
      </w:r>
      <w:r>
        <w:rPr>
          <w:b/>
        </w:rPr>
        <w:t>语句</w:t>
      </w:r>
      <w:r>
        <w:rPr>
          <w:rFonts w:hint="eastAsia"/>
          <w:b/>
        </w:rPr>
        <w:t>迁移，即在线迁移阶段，</w:t>
      </w:r>
      <w:r>
        <w:rPr>
          <w:b/>
        </w:rPr>
        <w:t>Oracle</w:t>
      </w:r>
      <w:r>
        <w:rPr>
          <w:rFonts w:hint="eastAsia"/>
          <w:b/>
        </w:rPr>
        <w:t>侧的</w:t>
      </w:r>
      <w:r>
        <w:rPr>
          <w:rFonts w:hint="eastAsia"/>
          <w:b/>
        </w:rPr>
        <w:t>D</w:t>
      </w:r>
      <w:r>
        <w:rPr>
          <w:b/>
        </w:rPr>
        <w:t>DL</w:t>
      </w:r>
      <w:r>
        <w:rPr>
          <w:b/>
        </w:rPr>
        <w:t>语句能够同步到</w:t>
      </w:r>
      <w:r>
        <w:t>openGauss</w:t>
      </w:r>
      <w:r>
        <w:t>侧并成功执行</w:t>
      </w:r>
      <w:r>
        <w:rPr>
          <w:rFonts w:hint="eastAsia"/>
        </w:rPr>
        <w:t>。需要支持的内容包括：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484"/>
        <w:gridCol w:w="4812"/>
      </w:tblGrid>
      <w:tr w:rsidR="004D37A8">
        <w:tc>
          <w:tcPr>
            <w:tcW w:w="3484" w:type="dxa"/>
          </w:tcPr>
          <w:p w:rsidR="004D37A8" w:rsidRDefault="008F0DB6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812" w:type="dxa"/>
          </w:tcPr>
          <w:p w:rsidR="004D37A8" w:rsidRDefault="008F0DB6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D37A8">
        <w:trPr>
          <w:trHeight w:val="2006"/>
        </w:trPr>
        <w:tc>
          <w:tcPr>
            <w:tcW w:w="3484" w:type="dxa"/>
          </w:tcPr>
          <w:p w:rsidR="004D37A8" w:rsidRDefault="008F0DB6">
            <w:r>
              <w:rPr>
                <w:rFonts w:hint="eastAsia"/>
              </w:rPr>
              <w:t>在线迁移支持</w:t>
            </w:r>
            <w:r>
              <w:rPr>
                <w:rFonts w:asciiTheme="minorEastAsia" w:eastAsiaTheme="minorEastAsia" w:hAnsiTheme="minorEastAsia"/>
                <w:b/>
              </w:rPr>
              <w:t>DROP TABLE</w:t>
            </w:r>
          </w:p>
        </w:tc>
        <w:tc>
          <w:tcPr>
            <w:tcW w:w="4812" w:type="dxa"/>
          </w:tcPr>
          <w:p w:rsidR="004D37A8" w:rsidRDefault="008F0DB6">
            <w:r>
              <w:rPr>
                <w:rStyle w:val="ac"/>
                <w:sz w:val="19"/>
              </w:rPr>
              <w:t>https://docs.oracle.com/en/database/oracle/oracle-database/19/sqlrf/DROP-TABLE.html#GUID-39D89EDC</w:t>
            </w:r>
            <w:r>
              <w:rPr>
                <w:rStyle w:val="ac"/>
                <w:sz w:val="19"/>
              </w:rPr>
              <w:t>-155D-4A24-837E-D45DDA757B45</w:t>
            </w:r>
            <w:r>
              <w:rPr>
                <w:sz w:val="19"/>
              </w:rPr>
              <w:t xml:space="preserve"> </w:t>
            </w:r>
          </w:p>
          <w:p w:rsidR="004D37A8" w:rsidRDefault="008F0DB6">
            <w:r>
              <w:t>目前在线迁移过程中</w:t>
            </w:r>
            <w:r>
              <w:rPr>
                <w:rFonts w:hint="eastAsia"/>
              </w:rPr>
              <w:t>，</w:t>
            </w:r>
            <w:r>
              <w:t>暂不支持迁移删表操作</w:t>
            </w:r>
            <w:r>
              <w:rPr>
                <w:rFonts w:hint="eastAsia"/>
              </w:rPr>
              <w:t>。</w:t>
            </w:r>
          </w:p>
        </w:tc>
      </w:tr>
      <w:tr w:rsidR="004D37A8">
        <w:tc>
          <w:tcPr>
            <w:tcW w:w="3484" w:type="dxa"/>
          </w:tcPr>
          <w:p w:rsidR="004D37A8" w:rsidRDefault="008F0DB6">
            <w:r>
              <w:rPr>
                <w:rFonts w:hint="eastAsia"/>
              </w:rPr>
              <w:t>在线迁移支持</w:t>
            </w:r>
            <w:r>
              <w:rPr>
                <w:rFonts w:asciiTheme="minorEastAsia" w:eastAsiaTheme="minorEastAsia" w:hAnsiTheme="minorEastAsia"/>
                <w:b/>
              </w:rPr>
              <w:t>RENAME TABLE</w:t>
            </w:r>
          </w:p>
        </w:tc>
        <w:tc>
          <w:tcPr>
            <w:tcW w:w="4812" w:type="dxa"/>
          </w:tcPr>
          <w:p w:rsidR="004D37A8" w:rsidRDefault="008F0DB6">
            <w:r>
              <w:rPr>
                <w:rStyle w:val="ac"/>
                <w:sz w:val="19"/>
              </w:rPr>
              <w:t>https://docs.oracle.com/en/database/oracle/oracle-database/19/sqlrf/RENAME.html#GUID-573347CE-3EB8-42E5-B4D5-EF71CA06FAFC</w:t>
            </w:r>
          </w:p>
        </w:tc>
      </w:tr>
      <w:tr w:rsidR="004D37A8">
        <w:tc>
          <w:tcPr>
            <w:tcW w:w="3484" w:type="dxa"/>
          </w:tcPr>
          <w:p w:rsidR="004D37A8" w:rsidRDefault="008F0DB6">
            <w:r>
              <w:rPr>
                <w:rFonts w:hint="eastAsia"/>
              </w:rPr>
              <w:t>在线迁移支持</w:t>
            </w:r>
            <w:r>
              <w:rPr>
                <w:rFonts w:asciiTheme="minorEastAsia" w:eastAsiaTheme="minorEastAsia" w:hAnsiTheme="minorEastAsia"/>
                <w:b/>
              </w:rPr>
              <w:t>TRUNCATE TABLE</w:t>
            </w:r>
          </w:p>
        </w:tc>
        <w:tc>
          <w:tcPr>
            <w:tcW w:w="4812" w:type="dxa"/>
          </w:tcPr>
          <w:p w:rsidR="004D37A8" w:rsidRDefault="008F0DB6">
            <w:r>
              <w:rPr>
                <w:rStyle w:val="ac"/>
                <w:sz w:val="19"/>
              </w:rPr>
              <w:t>https://docs.oracle.com/en/database/oracle/oracle-database/19/sqlrf/TRUNCATE-TABLE.html#GUID-B76E5846-75B5-4876-98EC-439E15E4D8A4</w:t>
            </w:r>
          </w:p>
        </w:tc>
      </w:tr>
    </w:tbl>
    <w:p w:rsidR="004D37A8" w:rsidRDefault="008F0DB6">
      <w:pPr>
        <w:pStyle w:val="3"/>
      </w:pPr>
      <w:r>
        <w:rPr>
          <w:rFonts w:hint="eastAsia"/>
        </w:rPr>
        <w:lastRenderedPageBreak/>
        <w:t>开发要求</w:t>
      </w:r>
    </w:p>
    <w:p w:rsidR="004D37A8" w:rsidRDefault="008F0DB6">
      <w:pPr>
        <w:pStyle w:val="af9"/>
        <w:numPr>
          <w:ilvl w:val="0"/>
          <w:numId w:val="3"/>
        </w:numPr>
        <w:ind w:firstLineChars="0"/>
      </w:pPr>
      <w:r>
        <w:rPr>
          <w:rFonts w:hint="eastAsia"/>
        </w:rPr>
        <w:t>工具的在线迁移阶段，在</w:t>
      </w:r>
      <w:r>
        <w:t>ORACLE</w:t>
      </w:r>
      <w:r>
        <w:rPr>
          <w:rFonts w:hint="eastAsia"/>
        </w:rPr>
        <w:t>侧执行</w:t>
      </w:r>
      <w:r>
        <w:t>DROP/RENAME/TRUNCATE TABLE</w:t>
      </w:r>
      <w:r>
        <w:t>语句能够同步到</w:t>
      </w:r>
      <w:r>
        <w:t>openGauss</w:t>
      </w:r>
      <w:r>
        <w:t>侧并成功执行</w:t>
      </w:r>
      <w:r>
        <w:rPr>
          <w:rFonts w:hint="eastAsia"/>
        </w:rPr>
        <w:t>。</w:t>
      </w:r>
    </w:p>
    <w:p w:rsidR="004D37A8" w:rsidRDefault="008F0DB6">
      <w:pPr>
        <w:pStyle w:val="af9"/>
        <w:numPr>
          <w:ilvl w:val="0"/>
          <w:numId w:val="3"/>
        </w:numPr>
        <w:ind w:firstLineChars="0"/>
      </w:pPr>
      <w:r>
        <w:t>需要提供</w:t>
      </w:r>
      <w:r>
        <w:t>ORACLE</w:t>
      </w:r>
      <w:r>
        <w:rPr>
          <w:rFonts w:hint="eastAsia"/>
        </w:rPr>
        <w:t>与</w:t>
      </w:r>
      <w:r>
        <w:rPr>
          <w:rFonts w:hint="eastAsia"/>
        </w:rPr>
        <w:t>op</w:t>
      </w:r>
      <w:r>
        <w:t>enGauss</w:t>
      </w:r>
      <w:r>
        <w:t>对于以上</w:t>
      </w:r>
      <w:r>
        <w:rPr>
          <w:rFonts w:hint="eastAsia"/>
        </w:rPr>
        <w:t>功能</w:t>
      </w:r>
      <w:r>
        <w:t>的差异点并提供</w:t>
      </w:r>
      <w:r>
        <w:rPr>
          <w:rFonts w:hint="eastAsia"/>
        </w:rPr>
        <w:t>迁移</w:t>
      </w:r>
      <w:r>
        <w:t>方式说明</w:t>
      </w:r>
      <w:r>
        <w:rPr>
          <w:rFonts w:hint="eastAsia"/>
        </w:rPr>
        <w:t>、</w:t>
      </w:r>
      <w:r>
        <w:t>设计文档</w:t>
      </w:r>
      <w:r>
        <w:rPr>
          <w:rFonts w:hint="eastAsia"/>
        </w:rPr>
        <w:t>、完整的</w:t>
      </w:r>
      <w:r>
        <w:t>测试</w:t>
      </w:r>
      <w:r>
        <w:t>用例</w:t>
      </w:r>
      <w:r>
        <w:rPr>
          <w:rFonts w:hint="eastAsia"/>
        </w:rPr>
        <w:t>。</w:t>
      </w:r>
    </w:p>
    <w:p w:rsidR="004D37A8" w:rsidRDefault="008F0DB6">
      <w:pPr>
        <w:pStyle w:val="af9"/>
        <w:numPr>
          <w:ilvl w:val="0"/>
          <w:numId w:val="3"/>
        </w:numPr>
        <w:ind w:firstLineChars="0"/>
      </w:pPr>
      <w:r>
        <w:rPr>
          <w:rFonts w:hint="eastAsia"/>
        </w:rPr>
        <w:t>代码改动需合入</w:t>
      </w:r>
      <w:r>
        <w:rPr>
          <w:rFonts w:hint="eastAsia"/>
        </w:rPr>
        <w:t>openGauss</w:t>
      </w:r>
      <w:r>
        <w:rPr>
          <w:rFonts w:hint="eastAsia"/>
        </w:rPr>
        <w:t>社区，门禁通过。</w:t>
      </w:r>
    </w:p>
    <w:p w:rsidR="004D37A8" w:rsidRDefault="008F0DB6">
      <w:pPr>
        <w:pStyle w:val="af9"/>
        <w:numPr>
          <w:ilvl w:val="0"/>
          <w:numId w:val="3"/>
        </w:numPr>
        <w:ind w:firstLineChars="0"/>
        <w:rPr>
          <w:rStyle w:val="HTML"/>
          <w:rFonts w:ascii="Times New Roman" w:hAnsi="Times New Roman" w:cs="Times New Roman"/>
          <w:sz w:val="21"/>
          <w:szCs w:val="21"/>
        </w:rPr>
      </w:pPr>
      <w:r>
        <w:rPr>
          <w:rStyle w:val="HTML"/>
          <w:rFonts w:ascii="Times New Roman" w:hAnsi="Times New Roman" w:cs="Times New Roman"/>
          <w:sz w:val="21"/>
          <w:szCs w:val="21"/>
        </w:rPr>
        <w:t>在</w:t>
      </w:r>
      <w:r>
        <w:rPr>
          <w:rStyle w:val="HTML"/>
          <w:rFonts w:ascii="Times New Roman" w:hAnsi="Times New Roman" w:cs="Times New Roman"/>
          <w:sz w:val="21"/>
          <w:szCs w:val="21"/>
        </w:rPr>
        <w:t>debezium</w:t>
      </w:r>
      <w:r>
        <w:rPr>
          <w:rStyle w:val="HTML"/>
          <w:rFonts w:ascii="Times New Roman" w:hAnsi="Times New Roman" w:cs="Times New Roman" w:hint="eastAsia"/>
          <w:sz w:val="21"/>
          <w:szCs w:val="21"/>
        </w:rPr>
        <w:t>(</w:t>
      </w:r>
      <w:hyperlink r:id="rId8" w:history="1">
        <w:r>
          <w:rPr>
            <w:rStyle w:val="ac"/>
            <w:rFonts w:ascii="微软雅黑" w:eastAsia="微软雅黑" w:hAnsi="微软雅黑" w:hint="eastAsia"/>
            <w:shd w:val="clear" w:color="auto" w:fill="F7F7F7"/>
          </w:rPr>
          <w:t>https://github.com/debezium/debezium</w:t>
        </w:r>
      </w:hyperlink>
      <w:r>
        <w:t>)</w:t>
      </w:r>
      <w:r>
        <w:t>上开发</w:t>
      </w:r>
      <w:r>
        <w:rPr>
          <w:rFonts w:hint="eastAsia"/>
        </w:rPr>
        <w:t>、</w:t>
      </w:r>
      <w:r>
        <w:t>提交代码</w:t>
      </w:r>
    </w:p>
    <w:p w:rsidR="004D37A8" w:rsidRDefault="008F0DB6">
      <w:pPr>
        <w:pStyle w:val="3"/>
      </w:pPr>
      <w:r>
        <w:rPr>
          <w:rFonts w:hint="eastAsia"/>
        </w:rPr>
        <w:t>交付成果</w:t>
      </w:r>
    </w:p>
    <w:p w:rsidR="004D37A8" w:rsidRDefault="008F0DB6">
      <w:pPr>
        <w:pStyle w:val="af9"/>
        <w:numPr>
          <w:ilvl w:val="0"/>
          <w:numId w:val="4"/>
        </w:numPr>
        <w:ind w:firstLineChars="0"/>
      </w:pPr>
      <w:r>
        <w:rPr>
          <w:rFonts w:hint="eastAsia"/>
        </w:rPr>
        <w:t>软件交付</w:t>
      </w:r>
    </w:p>
    <w:p w:rsidR="004D37A8" w:rsidRDefault="008F0DB6">
      <w:pPr>
        <w:pStyle w:val="af9"/>
        <w:numPr>
          <w:ilvl w:val="0"/>
          <w:numId w:val="5"/>
        </w:numPr>
        <w:ind w:firstLineChars="0"/>
      </w:pPr>
      <w:r>
        <w:rPr>
          <w:rFonts w:hint="eastAsia"/>
        </w:rPr>
        <w:t>交付需求中所有的代码改动。</w:t>
      </w:r>
    </w:p>
    <w:p w:rsidR="004D37A8" w:rsidRDefault="008F0DB6">
      <w:pPr>
        <w:pStyle w:val="af9"/>
        <w:numPr>
          <w:ilvl w:val="0"/>
          <w:numId w:val="4"/>
        </w:numPr>
        <w:ind w:firstLineChars="0"/>
      </w:pPr>
      <w:r>
        <w:rPr>
          <w:rFonts w:hint="eastAsia"/>
        </w:rPr>
        <w:t>文档交付</w:t>
      </w:r>
    </w:p>
    <w:tbl>
      <w:tblPr>
        <w:tblW w:w="7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2"/>
        <w:gridCol w:w="6078"/>
      </w:tblGrid>
      <w:tr w:rsidR="004D37A8">
        <w:trPr>
          <w:trHeight w:val="119"/>
          <w:jc w:val="center"/>
        </w:trPr>
        <w:tc>
          <w:tcPr>
            <w:tcW w:w="1272" w:type="dxa"/>
            <w:shd w:val="clear" w:color="auto" w:fill="F3F3F3"/>
          </w:tcPr>
          <w:p w:rsidR="004D37A8" w:rsidRDefault="008F0D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6078" w:type="dxa"/>
            <w:shd w:val="clear" w:color="auto" w:fill="F2F2F2" w:themeFill="background1" w:themeFillShade="F2"/>
          </w:tcPr>
          <w:p w:rsidR="004D37A8" w:rsidRDefault="008F0D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交付件</w:t>
            </w:r>
          </w:p>
        </w:tc>
      </w:tr>
      <w:tr w:rsidR="004D37A8">
        <w:trPr>
          <w:trHeight w:val="95"/>
          <w:jc w:val="center"/>
        </w:trPr>
        <w:tc>
          <w:tcPr>
            <w:tcW w:w="1272" w:type="dxa"/>
          </w:tcPr>
          <w:p w:rsidR="004D37A8" w:rsidRDefault="008F0DB6">
            <w:r>
              <w:rPr>
                <w:rFonts w:hint="eastAsia"/>
              </w:rPr>
              <w:t>1</w:t>
            </w:r>
          </w:p>
        </w:tc>
        <w:tc>
          <w:tcPr>
            <w:tcW w:w="6078" w:type="dxa"/>
          </w:tcPr>
          <w:p w:rsidR="004D37A8" w:rsidRDefault="008F0DB6">
            <w:r>
              <w:t>ORACLE</w:t>
            </w:r>
            <w:r>
              <w:rPr>
                <w:rFonts w:hint="eastAsia"/>
              </w:rPr>
              <w:t>与</w:t>
            </w:r>
            <w:r>
              <w:t>openGauss</w:t>
            </w: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2</w:t>
            </w:r>
            <w:r>
              <w:t>.1.1</w:t>
            </w:r>
            <w:r>
              <w:t>节所列语句的差异点及兼容方式说明</w:t>
            </w:r>
          </w:p>
        </w:tc>
      </w:tr>
      <w:tr w:rsidR="004D37A8">
        <w:trPr>
          <w:trHeight w:val="102"/>
          <w:jc w:val="center"/>
        </w:trPr>
        <w:tc>
          <w:tcPr>
            <w:tcW w:w="1272" w:type="dxa"/>
          </w:tcPr>
          <w:p w:rsidR="004D37A8" w:rsidRDefault="008F0DB6">
            <w:r>
              <w:rPr>
                <w:rFonts w:hint="eastAsia"/>
              </w:rPr>
              <w:t>2</w:t>
            </w:r>
          </w:p>
        </w:tc>
        <w:tc>
          <w:tcPr>
            <w:tcW w:w="6078" w:type="dxa"/>
          </w:tcPr>
          <w:p w:rsidR="004D37A8" w:rsidRDefault="008F0DB6">
            <w:r>
              <w:t>设计文档</w:t>
            </w:r>
          </w:p>
        </w:tc>
      </w:tr>
      <w:tr w:rsidR="004D37A8">
        <w:trPr>
          <w:trHeight w:val="102"/>
          <w:jc w:val="center"/>
        </w:trPr>
        <w:tc>
          <w:tcPr>
            <w:tcW w:w="1272" w:type="dxa"/>
          </w:tcPr>
          <w:p w:rsidR="004D37A8" w:rsidRDefault="008F0DB6">
            <w:r>
              <w:t>3</w:t>
            </w:r>
          </w:p>
        </w:tc>
        <w:tc>
          <w:tcPr>
            <w:tcW w:w="6078" w:type="dxa"/>
          </w:tcPr>
          <w:p w:rsidR="004D37A8" w:rsidRDefault="008F0DB6">
            <w:r>
              <w:rPr>
                <w:rFonts w:hint="eastAsia"/>
              </w:rPr>
              <w:t>测试报告</w:t>
            </w:r>
          </w:p>
        </w:tc>
      </w:tr>
    </w:tbl>
    <w:p w:rsidR="004D37A8" w:rsidRDefault="008F0DB6">
      <w:pPr>
        <w:pStyle w:val="3"/>
      </w:pPr>
      <w:r>
        <w:rPr>
          <w:rFonts w:hint="eastAsia"/>
        </w:rPr>
        <w:t>其他要求</w:t>
      </w:r>
    </w:p>
    <w:p w:rsidR="004D37A8" w:rsidRDefault="008F0DB6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项目开发人员需经华为审核资质并同意后方可从事本项目开发。</w:t>
      </w:r>
    </w:p>
    <w:p w:rsidR="004D37A8" w:rsidRDefault="008F0DB6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输出代码不得引用</w:t>
      </w:r>
      <w:r>
        <w:rPr>
          <w:rFonts w:hint="eastAsia"/>
        </w:rPr>
        <w:t>GNU General Public License</w:t>
      </w:r>
      <w:r>
        <w:rPr>
          <w:rFonts w:hint="eastAsia"/>
        </w:rPr>
        <w:t>、</w:t>
      </w:r>
      <w:r>
        <w:rPr>
          <w:rFonts w:hint="eastAsia"/>
        </w:rPr>
        <w:t>GPLv2/v3</w:t>
      </w:r>
      <w:r>
        <w:rPr>
          <w:rFonts w:hint="eastAsia"/>
        </w:rPr>
        <w:t>、</w:t>
      </w:r>
      <w:r>
        <w:rPr>
          <w:rFonts w:hint="eastAsia"/>
        </w:rPr>
        <w:t xml:space="preserve">AGPL </w:t>
      </w:r>
      <w:r>
        <w:rPr>
          <w:rFonts w:hint="eastAsia"/>
        </w:rPr>
        <w:t>的库文件或代码。</w:t>
      </w:r>
    </w:p>
    <w:p w:rsidR="004D37A8" w:rsidRDefault="008F0DB6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使用的第三方软件清单列表，引入和刷新第三方时软件要及时知会华为方并经过华为方同意。</w:t>
      </w:r>
    </w:p>
    <w:p w:rsidR="004D37A8" w:rsidRDefault="008F0DB6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项目结束后，开发者需要继续三个月的</w:t>
      </w:r>
      <w:r>
        <w:rPr>
          <w:rFonts w:hint="eastAsia"/>
        </w:rPr>
        <w:t>bug</w:t>
      </w:r>
      <w:r>
        <w:rPr>
          <w:rFonts w:hint="eastAsia"/>
        </w:rPr>
        <w:t>维护期，维护期间对</w:t>
      </w:r>
      <w:r>
        <w:rPr>
          <w:rFonts w:hint="eastAsia"/>
        </w:rPr>
        <w:t>bug</w:t>
      </w:r>
      <w:r>
        <w:rPr>
          <w:rFonts w:hint="eastAsia"/>
        </w:rPr>
        <w:t>应做到</w:t>
      </w:r>
      <w:r>
        <w:rPr>
          <w:rFonts w:hint="eastAsia"/>
        </w:rPr>
        <w:t>2</w:t>
      </w:r>
      <w:r>
        <w:rPr>
          <w:rFonts w:hint="eastAsia"/>
        </w:rPr>
        <w:t>天内响应给出方案，</w:t>
      </w:r>
      <w:r>
        <w:rPr>
          <w:rFonts w:hint="eastAsia"/>
        </w:rPr>
        <w:t>1</w:t>
      </w:r>
      <w:r>
        <w:rPr>
          <w:rFonts w:hint="eastAsia"/>
        </w:rPr>
        <w:t>周内解决。</w:t>
      </w:r>
    </w:p>
    <w:p w:rsidR="004D37A8" w:rsidRDefault="008F0DB6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故意放置恶意、安全漏洞代码的，将保留追究责任的一切权利。</w:t>
      </w:r>
    </w:p>
    <w:p w:rsidR="004D37A8" w:rsidRDefault="008F0DB6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源代码必须经过业界主流静态扫描工具扫描，并清零。</w:t>
      </w:r>
    </w:p>
    <w:p w:rsidR="004D37A8" w:rsidRDefault="008F0DB6">
      <w:r>
        <w:rPr>
          <w:rFonts w:hint="eastAsia"/>
        </w:rPr>
        <w:lastRenderedPageBreak/>
        <w:t>7.</w:t>
      </w:r>
      <w:r>
        <w:rPr>
          <w:rFonts w:hint="eastAsia"/>
        </w:rPr>
        <w:tab/>
      </w:r>
      <w:r>
        <w:rPr>
          <w:rFonts w:hint="eastAsia"/>
        </w:rPr>
        <w:t>乙方完</w:t>
      </w:r>
      <w:r>
        <w:rPr>
          <w:rFonts w:hint="eastAsia"/>
        </w:rPr>
        <w:t>成项目以后，需要将代码提交到甲方指定仓库。</w:t>
      </w:r>
    </w:p>
    <w:p w:rsidR="004D37A8" w:rsidRDefault="008F0DB6">
      <w:pPr>
        <w:pStyle w:val="2"/>
      </w:pPr>
      <w:r>
        <w:rPr>
          <w:rFonts w:hint="eastAsia"/>
        </w:rPr>
        <w:t>验收要求</w:t>
      </w:r>
    </w:p>
    <w:p w:rsidR="004D37A8" w:rsidRDefault="008F0DB6">
      <w:pPr>
        <w:pStyle w:val="3"/>
      </w:pPr>
      <w:r>
        <w:rPr>
          <w:rFonts w:hint="eastAsia"/>
        </w:rPr>
        <w:t>验收方式</w:t>
      </w:r>
    </w:p>
    <w:p w:rsidR="004D37A8" w:rsidRDefault="008F0DB6">
      <w:pPr>
        <w:pStyle w:val="af9"/>
        <w:numPr>
          <w:ilvl w:val="0"/>
          <w:numId w:val="4"/>
        </w:numPr>
        <w:ind w:firstLineChars="0"/>
      </w:pPr>
      <w:r>
        <w:t>功能要求</w:t>
      </w:r>
      <w:r>
        <w:rPr>
          <w:rFonts w:hint="eastAsia"/>
        </w:rPr>
        <w:t>：</w:t>
      </w:r>
      <w:r>
        <w:t>要求</w:t>
      </w:r>
      <w:r>
        <w:t>openGauss</w:t>
      </w:r>
      <w:r>
        <w:t>社区门禁的单元测试用例测试通过</w:t>
      </w:r>
      <w:r>
        <w:rPr>
          <w:rFonts w:hint="eastAsia"/>
        </w:rPr>
        <w:t>。</w:t>
      </w:r>
    </w:p>
    <w:p w:rsidR="004D37A8" w:rsidRDefault="008F0DB6">
      <w:pPr>
        <w:pStyle w:val="af9"/>
        <w:numPr>
          <w:ilvl w:val="0"/>
          <w:numId w:val="4"/>
        </w:numPr>
        <w:ind w:firstLineChars="0"/>
      </w:pPr>
      <w:r>
        <w:rPr>
          <w:rFonts w:hint="eastAsia"/>
        </w:rPr>
        <w:t>质量标准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5245"/>
        <w:gridCol w:w="1638"/>
      </w:tblGrid>
      <w:tr w:rsidR="004D37A8">
        <w:tc>
          <w:tcPr>
            <w:tcW w:w="1413" w:type="dxa"/>
          </w:tcPr>
          <w:p w:rsidR="004D37A8" w:rsidRDefault="008F0DB6">
            <w:r>
              <w:rPr>
                <w:rFonts w:hint="eastAsia"/>
              </w:rPr>
              <w:t>序号</w:t>
            </w:r>
          </w:p>
        </w:tc>
        <w:tc>
          <w:tcPr>
            <w:tcW w:w="5245" w:type="dxa"/>
          </w:tcPr>
          <w:p w:rsidR="004D37A8" w:rsidRDefault="008F0DB6">
            <w:r>
              <w:rPr>
                <w:rFonts w:hint="eastAsia"/>
              </w:rPr>
              <w:t>质量目标</w:t>
            </w:r>
          </w:p>
        </w:tc>
        <w:tc>
          <w:tcPr>
            <w:tcW w:w="1638" w:type="dxa"/>
          </w:tcPr>
          <w:p w:rsidR="004D37A8" w:rsidRDefault="008F0DB6">
            <w:r>
              <w:rPr>
                <w:rFonts w:hint="eastAsia"/>
              </w:rPr>
              <w:t>Goal</w:t>
            </w:r>
          </w:p>
        </w:tc>
      </w:tr>
      <w:tr w:rsidR="004D37A8">
        <w:tc>
          <w:tcPr>
            <w:tcW w:w="1413" w:type="dxa"/>
          </w:tcPr>
          <w:p w:rsidR="004D37A8" w:rsidRDefault="008F0DB6"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:rsidR="004D37A8" w:rsidRDefault="008F0DB6">
            <w:r>
              <w:rPr>
                <w:rFonts w:hint="eastAsia"/>
              </w:rPr>
              <w:t>需求实现率</w:t>
            </w:r>
          </w:p>
        </w:tc>
        <w:tc>
          <w:tcPr>
            <w:tcW w:w="1638" w:type="dxa"/>
          </w:tcPr>
          <w:p w:rsidR="004D37A8" w:rsidRDefault="008F0DB6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4D37A8">
        <w:tc>
          <w:tcPr>
            <w:tcW w:w="1413" w:type="dxa"/>
          </w:tcPr>
          <w:p w:rsidR="004D37A8" w:rsidRDefault="008F0DB6">
            <w:r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 w:rsidR="004D37A8" w:rsidRDefault="008F0DB6">
            <w:r>
              <w:rPr>
                <w:rFonts w:hint="eastAsia"/>
              </w:rPr>
              <w:t>遗留缺陷密度</w:t>
            </w:r>
          </w:p>
        </w:tc>
        <w:tc>
          <w:tcPr>
            <w:tcW w:w="1638" w:type="dxa"/>
          </w:tcPr>
          <w:p w:rsidR="004D37A8" w:rsidRDefault="008F0DB6">
            <w:r>
              <w:t>0</w:t>
            </w:r>
          </w:p>
        </w:tc>
      </w:tr>
      <w:tr w:rsidR="004D37A8">
        <w:tc>
          <w:tcPr>
            <w:tcW w:w="1413" w:type="dxa"/>
          </w:tcPr>
          <w:p w:rsidR="004D37A8" w:rsidRDefault="008F0DB6">
            <w:r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 w:rsidR="004D37A8" w:rsidRDefault="008F0DB6">
            <w:r>
              <w:rPr>
                <w:rFonts w:hint="eastAsia"/>
              </w:rPr>
              <w:t>测试用例通过率</w:t>
            </w:r>
          </w:p>
        </w:tc>
        <w:tc>
          <w:tcPr>
            <w:tcW w:w="1638" w:type="dxa"/>
          </w:tcPr>
          <w:p w:rsidR="004D37A8" w:rsidRDefault="008F0DB6">
            <w:r>
              <w:t>100</w:t>
            </w:r>
            <w:r>
              <w:rPr>
                <w:rFonts w:hint="eastAsia"/>
              </w:rPr>
              <w:t>%</w:t>
            </w:r>
          </w:p>
        </w:tc>
      </w:tr>
      <w:tr w:rsidR="004D37A8">
        <w:tc>
          <w:tcPr>
            <w:tcW w:w="1413" w:type="dxa"/>
          </w:tcPr>
          <w:p w:rsidR="004D37A8" w:rsidRDefault="008F0DB6">
            <w:r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 w:rsidR="004D37A8" w:rsidRDefault="008F0DB6">
            <w:r>
              <w:rPr>
                <w:rFonts w:hint="eastAsia"/>
              </w:rPr>
              <w:t>测试问题解决率</w:t>
            </w:r>
          </w:p>
        </w:tc>
        <w:tc>
          <w:tcPr>
            <w:tcW w:w="1638" w:type="dxa"/>
          </w:tcPr>
          <w:p w:rsidR="004D37A8" w:rsidRDefault="008F0DB6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</w:tbl>
    <w:p w:rsidR="004D37A8" w:rsidRDefault="008F0DB6">
      <w:pPr>
        <w:pStyle w:val="1"/>
      </w:pPr>
      <w:r>
        <w:rPr>
          <w:rFonts w:hint="eastAsia"/>
        </w:rPr>
        <w:t>交付计划</w:t>
      </w:r>
    </w:p>
    <w:p w:rsidR="004D37A8" w:rsidRDefault="008F0DB6">
      <w:r>
        <w:rPr>
          <w:rFonts w:hint="eastAsia"/>
        </w:rPr>
        <w:t>乙方应在中国境内（“工作地点”），按照下表的各阶段开展协议工作。各阶段工作的详细计划、应交付的阶段性成果及验收标准如下所示：</w:t>
      </w:r>
    </w:p>
    <w:tbl>
      <w:tblPr>
        <w:tblStyle w:val="aa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246"/>
        <w:gridCol w:w="1723"/>
      </w:tblGrid>
      <w:tr w:rsidR="004D37A8">
        <w:tc>
          <w:tcPr>
            <w:tcW w:w="1271" w:type="dxa"/>
          </w:tcPr>
          <w:p w:rsidR="004D37A8" w:rsidRDefault="008F0DB6">
            <w:pPr>
              <w:jc w:val="center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1418" w:type="dxa"/>
          </w:tcPr>
          <w:p w:rsidR="004D37A8" w:rsidRDefault="008F0DB6">
            <w:r>
              <w:rPr>
                <w:rFonts w:hint="eastAsia"/>
              </w:rPr>
              <w:t>阶段描述</w:t>
            </w:r>
          </w:p>
        </w:tc>
        <w:tc>
          <w:tcPr>
            <w:tcW w:w="1701" w:type="dxa"/>
          </w:tcPr>
          <w:p w:rsidR="004D37A8" w:rsidRDefault="008F0DB6">
            <w:r>
              <w:rPr>
                <w:rFonts w:hint="eastAsia"/>
              </w:rPr>
              <w:t>交付件</w:t>
            </w:r>
          </w:p>
        </w:tc>
        <w:tc>
          <w:tcPr>
            <w:tcW w:w="2246" w:type="dxa"/>
          </w:tcPr>
          <w:p w:rsidR="004D37A8" w:rsidRDefault="008F0DB6">
            <w:r>
              <w:rPr>
                <w:rFonts w:hint="eastAsia"/>
              </w:rPr>
              <w:t>里程碑交付标准</w:t>
            </w:r>
          </w:p>
        </w:tc>
        <w:tc>
          <w:tcPr>
            <w:tcW w:w="1723" w:type="dxa"/>
          </w:tcPr>
          <w:p w:rsidR="004D37A8" w:rsidRDefault="008F0DB6">
            <w:r>
              <w:rPr>
                <w:rFonts w:hint="eastAsia"/>
              </w:rPr>
              <w:t>验收标准</w:t>
            </w:r>
          </w:p>
        </w:tc>
      </w:tr>
      <w:tr w:rsidR="004D37A8">
        <w:tc>
          <w:tcPr>
            <w:tcW w:w="1271" w:type="dxa"/>
          </w:tcPr>
          <w:p w:rsidR="004D37A8" w:rsidRDefault="008F0DB6">
            <w:r>
              <w:t>T</w:t>
            </w:r>
            <w:r>
              <w:rPr>
                <w:rFonts w:ascii="微软雅黑" w:eastAsia="微软雅黑" w:hAnsi="微软雅黑" w:cs="微软雅黑"/>
                <w:color w:val="000000"/>
                <w:shd w:val="clear" w:color="auto" w:fill="F7F7F7"/>
              </w:rPr>
              <w:t>~</w:t>
            </w:r>
            <w:r>
              <w:t>T + 3</w:t>
            </w:r>
            <w:r>
              <w:t>月</w:t>
            </w:r>
          </w:p>
        </w:tc>
        <w:tc>
          <w:tcPr>
            <w:tcW w:w="1418" w:type="dxa"/>
          </w:tcPr>
          <w:p w:rsidR="004D37A8" w:rsidRDefault="008F0DB6">
            <w:r>
              <w:rPr>
                <w:rFonts w:ascii="Arial" w:hAnsi="Arial" w:cs="Arial" w:hint="eastAsia"/>
                <w:sz w:val="18"/>
              </w:rPr>
              <w:t>第一阶段需求交付</w:t>
            </w:r>
          </w:p>
        </w:tc>
        <w:tc>
          <w:tcPr>
            <w:tcW w:w="1701" w:type="dxa"/>
          </w:tcPr>
          <w:p w:rsidR="004D37A8" w:rsidRDefault="008F0DB6">
            <w:r>
              <w:rPr>
                <w:rFonts w:ascii="Arial" w:hAnsi="Arial" w:cs="Arial"/>
                <w:sz w:val="18"/>
              </w:rPr>
              <w:t>按</w:t>
            </w:r>
            <w:r>
              <w:rPr>
                <w:rFonts w:ascii="Arial" w:hAnsi="Arial" w:cs="Arial" w:hint="eastAsia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>.1.3</w:t>
            </w:r>
            <w:r>
              <w:rPr>
                <w:rFonts w:ascii="Arial" w:hAnsi="Arial" w:cs="Arial"/>
                <w:sz w:val="18"/>
              </w:rPr>
              <w:t>章节要求交付</w:t>
            </w:r>
          </w:p>
        </w:tc>
        <w:tc>
          <w:tcPr>
            <w:tcW w:w="2246" w:type="dxa"/>
          </w:tcPr>
          <w:p w:rsidR="004D37A8" w:rsidRDefault="008F0DB6">
            <w:r>
              <w:t>交付</w:t>
            </w:r>
            <w:r>
              <w:rPr>
                <w:rFonts w:asciiTheme="minorEastAsia" w:eastAsiaTheme="minorEastAsia" w:hAnsiTheme="minorEastAsia"/>
                <w:b/>
              </w:rPr>
              <w:t>onlineMigration</w:t>
            </w:r>
            <w:r>
              <w:rPr>
                <w:rFonts w:hint="eastAsia"/>
              </w:rPr>
              <w:t>工具的在线迁移阶段支持迁移</w:t>
            </w:r>
            <w:r>
              <w:t>ORACLE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DDL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openGauss</w:t>
            </w:r>
            <w:r>
              <w:rPr>
                <w:rFonts w:hint="eastAsia"/>
              </w:rPr>
              <w:t>。</w:t>
            </w:r>
          </w:p>
        </w:tc>
        <w:tc>
          <w:tcPr>
            <w:tcW w:w="1723" w:type="dxa"/>
          </w:tcPr>
          <w:p w:rsidR="004D37A8" w:rsidRDefault="008F0DB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交付件完整；</w:t>
            </w:r>
          </w:p>
          <w:p w:rsidR="004D37A8" w:rsidRDefault="008F0DB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社区测试门禁运行通过，代码满足社区编码规范；</w:t>
            </w:r>
          </w:p>
          <w:p w:rsidR="004D37A8" w:rsidRDefault="008F0DB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2</w:t>
            </w:r>
            <w:r>
              <w:t>.1.2</w:t>
            </w:r>
            <w:r>
              <w:t>章节中各要求达标</w:t>
            </w:r>
            <w:r>
              <w:rPr>
                <w:rFonts w:hint="eastAsia"/>
              </w:rPr>
              <w:t>。</w:t>
            </w:r>
          </w:p>
        </w:tc>
      </w:tr>
    </w:tbl>
    <w:p w:rsidR="004D37A8" w:rsidRDefault="004D37A8"/>
    <w:sectPr w:rsidR="004D37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DB6" w:rsidRDefault="008F0DB6">
      <w:pPr>
        <w:spacing w:line="240" w:lineRule="auto"/>
      </w:pPr>
      <w:r>
        <w:separator/>
      </w:r>
    </w:p>
  </w:endnote>
  <w:endnote w:type="continuationSeparator" w:id="0">
    <w:p w:rsidR="008F0DB6" w:rsidRDefault="008F0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7A8" w:rsidRDefault="004D37A8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314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927"/>
      <w:gridCol w:w="2850"/>
      <w:gridCol w:w="2537"/>
    </w:tblGrid>
    <w:tr w:rsidR="004D37A8">
      <w:trPr>
        <w:trHeight w:val="257"/>
      </w:trPr>
      <w:tc>
        <w:tcPr>
          <w:tcW w:w="2927" w:type="dxa"/>
        </w:tcPr>
        <w:p w:rsidR="004D37A8" w:rsidRDefault="008F0DB6">
          <w:pPr>
            <w:pStyle w:val="a7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B874A6">
            <w:rPr>
              <w:noProof/>
            </w:rPr>
            <w:t>2021-11-11</w:t>
          </w:r>
          <w:r>
            <w:fldChar w:fldCharType="end"/>
          </w:r>
        </w:p>
      </w:tc>
      <w:tc>
        <w:tcPr>
          <w:tcW w:w="2850" w:type="dxa"/>
        </w:tcPr>
        <w:p w:rsidR="004D37A8" w:rsidRDefault="008F0DB6">
          <w:pPr>
            <w:pStyle w:val="a7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2537" w:type="dxa"/>
        </w:tcPr>
        <w:p w:rsidR="004D37A8" w:rsidRDefault="008F0DB6">
          <w:pPr>
            <w:pStyle w:val="a7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874A6">
            <w:rPr>
              <w:noProof/>
            </w:rPr>
            <w:t>3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B874A6">
            <w:rPr>
              <w:noProof/>
            </w:rPr>
            <w:t>3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4D37A8" w:rsidRDefault="004D37A8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7A8" w:rsidRDefault="004D37A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DB6" w:rsidRDefault="008F0DB6">
      <w:pPr>
        <w:spacing w:line="240" w:lineRule="auto"/>
      </w:pPr>
      <w:r>
        <w:separator/>
      </w:r>
    </w:p>
  </w:footnote>
  <w:footnote w:type="continuationSeparator" w:id="0">
    <w:p w:rsidR="008F0DB6" w:rsidRDefault="008F0D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7A8" w:rsidRDefault="004D37A8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306" w:type="dxa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31"/>
      <w:gridCol w:w="5814"/>
      <w:gridCol w:w="1661"/>
    </w:tblGrid>
    <w:tr w:rsidR="004D37A8">
      <w:trPr>
        <w:cantSplit/>
        <w:trHeight w:hRule="exact" w:val="782"/>
      </w:trPr>
      <w:tc>
        <w:tcPr>
          <w:tcW w:w="831" w:type="dxa"/>
        </w:tcPr>
        <w:p w:rsidR="004D37A8" w:rsidRDefault="008F0DB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4" w:type="dxa"/>
          <w:vAlign w:val="bottom"/>
        </w:tcPr>
        <w:p w:rsidR="004D37A8" w:rsidRDefault="008F0DB6">
          <w:pPr>
            <w:pStyle w:val="a8"/>
            <w:ind w:firstLineChars="300" w:firstLine="540"/>
            <w:rPr>
              <w:rFonts w:ascii="宋体" w:hAnsi="宋体"/>
            </w:rPr>
          </w:pPr>
          <w:r>
            <w:rPr>
              <w:rFonts w:ascii="宋体" w:hAnsi="宋体" w:hint="eastAsia"/>
            </w:rPr>
            <w:t>文档名称</w:t>
          </w:r>
        </w:p>
      </w:tc>
      <w:tc>
        <w:tcPr>
          <w:tcW w:w="1661" w:type="dxa"/>
          <w:vAlign w:val="bottom"/>
        </w:tcPr>
        <w:p w:rsidR="004D37A8" w:rsidRDefault="008F0DB6">
          <w:pPr>
            <w:pStyle w:val="a8"/>
            <w:ind w:firstLineChars="350" w:firstLine="630"/>
            <w:rPr>
              <w:rFonts w:ascii="宋体" w:hAnsi="宋体"/>
            </w:rPr>
          </w:pPr>
          <w:r>
            <w:rPr>
              <w:rFonts w:ascii="宋体" w:hAnsi="宋体" w:hint="eastAsia"/>
            </w:rPr>
            <w:t>文档密级</w:t>
          </w:r>
        </w:p>
      </w:tc>
    </w:tr>
  </w:tbl>
  <w:p w:rsidR="004D37A8" w:rsidRDefault="004D37A8">
    <w:pPr>
      <w:pStyle w:val="a8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7A8" w:rsidRDefault="004D37A8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B15A2"/>
    <w:multiLevelType w:val="multilevel"/>
    <w:tmpl w:val="2F4B15A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" w15:restartNumberingAfterBreak="0">
    <w:nsid w:val="444D78CE"/>
    <w:multiLevelType w:val="multilevel"/>
    <w:tmpl w:val="444D78CE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AB4347"/>
    <w:multiLevelType w:val="multilevel"/>
    <w:tmpl w:val="51AB4347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4F"/>
    <w:rsid w:val="00005A42"/>
    <w:rsid w:val="000066A5"/>
    <w:rsid w:val="00027654"/>
    <w:rsid w:val="00035469"/>
    <w:rsid w:val="00041E03"/>
    <w:rsid w:val="00042B7F"/>
    <w:rsid w:val="0004352B"/>
    <w:rsid w:val="00045027"/>
    <w:rsid w:val="00047E4B"/>
    <w:rsid w:val="000560B2"/>
    <w:rsid w:val="00057444"/>
    <w:rsid w:val="00061561"/>
    <w:rsid w:val="000A1CA8"/>
    <w:rsid w:val="000A49E2"/>
    <w:rsid w:val="000C3507"/>
    <w:rsid w:val="000D6388"/>
    <w:rsid w:val="000F4C04"/>
    <w:rsid w:val="000F7B89"/>
    <w:rsid w:val="0011472A"/>
    <w:rsid w:val="00152B8F"/>
    <w:rsid w:val="0015323B"/>
    <w:rsid w:val="001608A7"/>
    <w:rsid w:val="0016404A"/>
    <w:rsid w:val="00187B7A"/>
    <w:rsid w:val="00193C4E"/>
    <w:rsid w:val="001A30DA"/>
    <w:rsid w:val="001B27FB"/>
    <w:rsid w:val="001B5ADE"/>
    <w:rsid w:val="001D1D8C"/>
    <w:rsid w:val="001D6AD1"/>
    <w:rsid w:val="001E561E"/>
    <w:rsid w:val="00215951"/>
    <w:rsid w:val="00223F5A"/>
    <w:rsid w:val="00231423"/>
    <w:rsid w:val="00233CC6"/>
    <w:rsid w:val="00240776"/>
    <w:rsid w:val="00254916"/>
    <w:rsid w:val="002646EA"/>
    <w:rsid w:val="002720CC"/>
    <w:rsid w:val="002A6E66"/>
    <w:rsid w:val="002B0B38"/>
    <w:rsid w:val="002B1642"/>
    <w:rsid w:val="002C6B46"/>
    <w:rsid w:val="002F7671"/>
    <w:rsid w:val="003055E4"/>
    <w:rsid w:val="00305A89"/>
    <w:rsid w:val="00307760"/>
    <w:rsid w:val="00311055"/>
    <w:rsid w:val="00322726"/>
    <w:rsid w:val="00345C19"/>
    <w:rsid w:val="0035580A"/>
    <w:rsid w:val="00356F15"/>
    <w:rsid w:val="00371533"/>
    <w:rsid w:val="00375D51"/>
    <w:rsid w:val="00390077"/>
    <w:rsid w:val="003C5C45"/>
    <w:rsid w:val="003C5D3E"/>
    <w:rsid w:val="003F2EE5"/>
    <w:rsid w:val="00425F62"/>
    <w:rsid w:val="004306D8"/>
    <w:rsid w:val="00440C5C"/>
    <w:rsid w:val="00454146"/>
    <w:rsid w:val="004715A1"/>
    <w:rsid w:val="004973CF"/>
    <w:rsid w:val="004D37A8"/>
    <w:rsid w:val="004F4C9B"/>
    <w:rsid w:val="0050253A"/>
    <w:rsid w:val="00506515"/>
    <w:rsid w:val="00521FE3"/>
    <w:rsid w:val="00523FB6"/>
    <w:rsid w:val="0054185C"/>
    <w:rsid w:val="005933FF"/>
    <w:rsid w:val="005A2384"/>
    <w:rsid w:val="005B42F2"/>
    <w:rsid w:val="005B76E8"/>
    <w:rsid w:val="005C5E16"/>
    <w:rsid w:val="005D0B98"/>
    <w:rsid w:val="005D3EE6"/>
    <w:rsid w:val="005D5A1A"/>
    <w:rsid w:val="005D7645"/>
    <w:rsid w:val="005E33C2"/>
    <w:rsid w:val="00620DD0"/>
    <w:rsid w:val="00634265"/>
    <w:rsid w:val="0064278A"/>
    <w:rsid w:val="006A5851"/>
    <w:rsid w:val="006A6AAC"/>
    <w:rsid w:val="006D706C"/>
    <w:rsid w:val="006D7518"/>
    <w:rsid w:val="00710F3C"/>
    <w:rsid w:val="0071233F"/>
    <w:rsid w:val="007268F9"/>
    <w:rsid w:val="00746B2D"/>
    <w:rsid w:val="0075012D"/>
    <w:rsid w:val="00766F94"/>
    <w:rsid w:val="007747B2"/>
    <w:rsid w:val="00775BB5"/>
    <w:rsid w:val="00780144"/>
    <w:rsid w:val="00791C48"/>
    <w:rsid w:val="00792F11"/>
    <w:rsid w:val="007951F4"/>
    <w:rsid w:val="007B69F4"/>
    <w:rsid w:val="007B705D"/>
    <w:rsid w:val="007C4C3D"/>
    <w:rsid w:val="007D240D"/>
    <w:rsid w:val="0086462D"/>
    <w:rsid w:val="00883508"/>
    <w:rsid w:val="008A69B9"/>
    <w:rsid w:val="008B2E69"/>
    <w:rsid w:val="008B78A8"/>
    <w:rsid w:val="008C333A"/>
    <w:rsid w:val="008D569E"/>
    <w:rsid w:val="008D57C9"/>
    <w:rsid w:val="008D72BA"/>
    <w:rsid w:val="008F0DB6"/>
    <w:rsid w:val="0090705C"/>
    <w:rsid w:val="0093331C"/>
    <w:rsid w:val="00934E26"/>
    <w:rsid w:val="00941024"/>
    <w:rsid w:val="00941164"/>
    <w:rsid w:val="0095130A"/>
    <w:rsid w:val="00961333"/>
    <w:rsid w:val="009626D2"/>
    <w:rsid w:val="00977180"/>
    <w:rsid w:val="009773F9"/>
    <w:rsid w:val="009B1AD6"/>
    <w:rsid w:val="009C2FD3"/>
    <w:rsid w:val="009C3A0F"/>
    <w:rsid w:val="009F48D8"/>
    <w:rsid w:val="00A0615B"/>
    <w:rsid w:val="00A13D38"/>
    <w:rsid w:val="00A23FDE"/>
    <w:rsid w:val="00A41887"/>
    <w:rsid w:val="00A4631C"/>
    <w:rsid w:val="00A56036"/>
    <w:rsid w:val="00A61B59"/>
    <w:rsid w:val="00A8708F"/>
    <w:rsid w:val="00AA3D6E"/>
    <w:rsid w:val="00AA7C3F"/>
    <w:rsid w:val="00AB5BB2"/>
    <w:rsid w:val="00AB78E4"/>
    <w:rsid w:val="00AC1652"/>
    <w:rsid w:val="00AC5CDB"/>
    <w:rsid w:val="00AE0CF6"/>
    <w:rsid w:val="00B0497F"/>
    <w:rsid w:val="00B12180"/>
    <w:rsid w:val="00B15E02"/>
    <w:rsid w:val="00B6102F"/>
    <w:rsid w:val="00B62622"/>
    <w:rsid w:val="00B831C4"/>
    <w:rsid w:val="00B874A6"/>
    <w:rsid w:val="00B97012"/>
    <w:rsid w:val="00BA7F2D"/>
    <w:rsid w:val="00BC6A39"/>
    <w:rsid w:val="00BE3AB2"/>
    <w:rsid w:val="00BE5FDC"/>
    <w:rsid w:val="00BF04BE"/>
    <w:rsid w:val="00BF4C8D"/>
    <w:rsid w:val="00C058EE"/>
    <w:rsid w:val="00C118E7"/>
    <w:rsid w:val="00C1438A"/>
    <w:rsid w:val="00C216AC"/>
    <w:rsid w:val="00C45F71"/>
    <w:rsid w:val="00C50E82"/>
    <w:rsid w:val="00C53AFA"/>
    <w:rsid w:val="00C65870"/>
    <w:rsid w:val="00C75DCC"/>
    <w:rsid w:val="00CA019E"/>
    <w:rsid w:val="00CC1E1E"/>
    <w:rsid w:val="00CD60CA"/>
    <w:rsid w:val="00CD7054"/>
    <w:rsid w:val="00CD7618"/>
    <w:rsid w:val="00CF3467"/>
    <w:rsid w:val="00CF4CFF"/>
    <w:rsid w:val="00CF594F"/>
    <w:rsid w:val="00D0183A"/>
    <w:rsid w:val="00D110CF"/>
    <w:rsid w:val="00D1178D"/>
    <w:rsid w:val="00D11B27"/>
    <w:rsid w:val="00D16C4C"/>
    <w:rsid w:val="00D41E35"/>
    <w:rsid w:val="00D60DD9"/>
    <w:rsid w:val="00D66BD5"/>
    <w:rsid w:val="00D6738D"/>
    <w:rsid w:val="00D87114"/>
    <w:rsid w:val="00DA3092"/>
    <w:rsid w:val="00DA4B25"/>
    <w:rsid w:val="00DC63DF"/>
    <w:rsid w:val="00DE6E3D"/>
    <w:rsid w:val="00E06012"/>
    <w:rsid w:val="00E1210E"/>
    <w:rsid w:val="00E30747"/>
    <w:rsid w:val="00E35629"/>
    <w:rsid w:val="00E45CE5"/>
    <w:rsid w:val="00E612B8"/>
    <w:rsid w:val="00E851EC"/>
    <w:rsid w:val="00EA74C6"/>
    <w:rsid w:val="00EA7D14"/>
    <w:rsid w:val="00EC2EDF"/>
    <w:rsid w:val="00EC5048"/>
    <w:rsid w:val="00EE2438"/>
    <w:rsid w:val="00EE58DB"/>
    <w:rsid w:val="00EF142E"/>
    <w:rsid w:val="00EF3524"/>
    <w:rsid w:val="00F636EA"/>
    <w:rsid w:val="00F83F5D"/>
    <w:rsid w:val="00FE5AF0"/>
    <w:rsid w:val="00FF77C6"/>
    <w:rsid w:val="3BB8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AD00E5E-28CF-4EAF-90AC-6E8C3AB9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text"/>
    <w:basedOn w:val="a1"/>
    <w:link w:val="Char"/>
    <w:semiHidden/>
    <w:unhideWhenUsed/>
    <w:pPr>
      <w:spacing w:line="400" w:lineRule="exact"/>
      <w:ind w:firstLineChars="200" w:firstLine="200"/>
    </w:pPr>
    <w:rPr>
      <w:rFonts w:ascii="宋体" w:cs="宋体"/>
      <w:snapToGrid/>
      <w:sz w:val="24"/>
    </w:rPr>
  </w:style>
  <w:style w:type="paragraph" w:styleId="a6">
    <w:name w:val="Balloon Text"/>
    <w:basedOn w:val="a1"/>
    <w:link w:val="Char0"/>
    <w:pPr>
      <w:spacing w:line="240" w:lineRule="auto"/>
    </w:pPr>
    <w:rPr>
      <w:sz w:val="18"/>
      <w:szCs w:val="18"/>
    </w:rPr>
  </w:style>
  <w:style w:type="paragraph" w:styleId="a7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8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a9">
    <w:name w:val="Title"/>
    <w:basedOn w:val="a1"/>
    <w:next w:val="a1"/>
    <w:link w:val="Char1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a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2"/>
    <w:semiHidden/>
    <w:unhideWhenUsed/>
    <w:rPr>
      <w:color w:val="800080" w:themeColor="followedHyperlink"/>
      <w:u w:val="single"/>
    </w:rPr>
  </w:style>
  <w:style w:type="character" w:styleId="ac">
    <w:name w:val="Hyperlink"/>
    <w:basedOn w:val="a2"/>
    <w:unhideWhenUsed/>
    <w:rPr>
      <w:color w:val="0000FF" w:themeColor="hyperlink"/>
      <w:u w:val="single"/>
    </w:rPr>
  </w:style>
  <w:style w:type="character" w:styleId="HTML">
    <w:name w:val="HTML Code"/>
    <w:basedOn w:val="a2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2"/>
    <w:semiHidden/>
    <w:unhideWhenUsed/>
    <w:rPr>
      <w:sz w:val="21"/>
      <w:szCs w:val="21"/>
    </w:rPr>
  </w:style>
  <w:style w:type="paragraph" w:customStyle="1" w:styleId="a0">
    <w:name w:val="表格题注"/>
    <w:next w:val="a1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e">
    <w:name w:val="表格文本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f0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1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f2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3">
    <w:name w:val="正文（首行不缩进）"/>
    <w:basedOn w:val="a1"/>
  </w:style>
  <w:style w:type="paragraph" w:customStyle="1" w:styleId="af4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f5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6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character" w:customStyle="1" w:styleId="af7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8">
    <w:name w:val="样式二"/>
    <w:basedOn w:val="af7"/>
    <w:rPr>
      <w:rFonts w:ascii="宋体" w:hAnsi="宋体"/>
      <w:b/>
      <w:bCs/>
      <w:color w:val="000000"/>
      <w:sz w:val="36"/>
    </w:rPr>
  </w:style>
  <w:style w:type="character" w:customStyle="1" w:styleId="Char0">
    <w:name w:val="批注框文本 Char"/>
    <w:basedOn w:val="a2"/>
    <w:link w:val="a6"/>
    <w:rPr>
      <w:snapToGrid w:val="0"/>
      <w:sz w:val="18"/>
      <w:szCs w:val="18"/>
    </w:rPr>
  </w:style>
  <w:style w:type="paragraph" w:styleId="af9">
    <w:name w:val="List Paragraph"/>
    <w:basedOn w:val="a1"/>
    <w:uiPriority w:val="34"/>
    <w:qFormat/>
    <w:pPr>
      <w:ind w:firstLineChars="200" w:firstLine="420"/>
    </w:pPr>
  </w:style>
  <w:style w:type="character" w:customStyle="1" w:styleId="Char1">
    <w:name w:val="标题 Char"/>
    <w:basedOn w:val="a2"/>
    <w:link w:val="a9"/>
    <w:rPr>
      <w:rFonts w:asciiTheme="majorHAnsi" w:hAnsiTheme="majorHAnsi" w:cstheme="majorBidi"/>
      <w:b/>
      <w:bCs/>
      <w:snapToGrid w:val="0"/>
      <w:sz w:val="32"/>
      <w:szCs w:val="32"/>
    </w:rPr>
  </w:style>
  <w:style w:type="character" w:customStyle="1" w:styleId="Char">
    <w:name w:val="批注文字 Char"/>
    <w:basedOn w:val="a2"/>
    <w:link w:val="a5"/>
    <w:semiHidden/>
    <w:rPr>
      <w:rFonts w:ascii="宋体" w:cs="宋体"/>
      <w:sz w:val="24"/>
      <w:szCs w:val="21"/>
    </w:rPr>
  </w:style>
  <w:style w:type="paragraph" w:customStyle="1" w:styleId="Normal1">
    <w:name w:val="Normal1"/>
    <w:basedOn w:val="a1"/>
    <w:pPr>
      <w:widowControl/>
      <w:overflowPunct w:val="0"/>
      <w:spacing w:line="240" w:lineRule="auto"/>
      <w:ind w:firstLineChars="200" w:firstLine="200"/>
      <w:jc w:val="both"/>
      <w:textAlignment w:val="baseline"/>
    </w:pPr>
    <w:rPr>
      <w:rFonts w:ascii="宋体"/>
      <w:snapToGrid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bezium/debeziu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271</Words>
  <Characters>1548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Wuweinan (Weinan Wu, Intelligence Computing R&amp;D)</dc:creator>
  <cp:lastModifiedBy>Luyao (Ruby)</cp:lastModifiedBy>
  <cp:revision>2</cp:revision>
  <dcterms:created xsi:type="dcterms:W3CDTF">2021-10-27T11:16:00Z</dcterms:created>
  <dcterms:modified xsi:type="dcterms:W3CDTF">2021-11-11T09:09:00Z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(3)5ARK/9Np+bsuT//tkrmanOSE1abKOlnfWEmp0LAp8vmwgw2BlDzAqJ4WASgJAswcl2JLny48
ff2FGDpTzBXuntCEWFHCnScUKgO61ksoBUeUxLnDG1z6eM2KXm6N32crkczxTIEffUb1zZLb
S1v0Xke5FDsOaXjgHHU/xe1efA7q3X237bQYN+FxewS4yrBJHnOsPMYs/2sriyLlqQ0Lun9T
D1ua7/0ilAnuwu/452</vt:lpwstr>
  </property>
  <property fmtid="{D5CDD505-2E9C-101B-9397-08002B2CF9AE}" pid="3" name="_2015_ms_pID_7253431">
    <vt:lpwstr>pkuUQRMJ6uqZYOfFmuvKEykeXH48au9M8E6WCxV0Aaj7uMfk9tH0G4
viUmnHG3obJiHIG3oJHt8+CpGzSueUPQ7bm0RlLIMUV3Uov0vVOGvW6fzRKsOgV5sxB2NkzY
zyJlo9eSMS7yLH95M49iPbscEfo4sjSNzk7SrHLs3wbk81XZUKjwbQV0KuBbNmMOhYNvxG14
P/TlnzJsZUAqY9hAYMfq6LeYH6/0nW0zbChY</vt:lpwstr>
  </property>
  <property fmtid="{D5CDD505-2E9C-101B-9397-08002B2CF9AE}" pid="4" name="_2015_ms_pID_7253432">
    <vt:lpwstr>Pg==</vt:lpwstr>
  </property>
  <property fmtid="{D5CDD505-2E9C-101B-9397-08002B2CF9AE}" pid="5" name="KSOProductBuildVer">
    <vt:lpwstr>2052-0.0.0.0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1635493924</vt:lpwstr>
  </property>
</Properties>
</file>