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643"/>
      </w:pPr>
      <w:r>
        <w:rPr>
          <w:rFonts w:hint="eastAsia"/>
        </w:rPr>
        <w:t>openGauss-</w:t>
      </w:r>
      <w:r>
        <w:t>Oracle</w:t>
      </w:r>
      <w:r>
        <w:rPr>
          <w:rFonts w:hint="eastAsia"/>
        </w:rPr>
        <w:t>在线迁移工具支持在线迁移D</w:t>
      </w:r>
      <w:r>
        <w:t>DL语句</w:t>
      </w:r>
      <w:r>
        <w:rPr>
          <w:rFonts w:hint="eastAsia"/>
        </w:rPr>
        <w:t>开发合作项目</w:t>
      </w:r>
      <w:r>
        <w:t>2</w:t>
      </w:r>
      <w:r>
        <w:rPr>
          <w:rFonts w:hint="eastAsia"/>
        </w:rPr>
        <w:t>_SOW</w:t>
      </w:r>
    </w:p>
    <w:p>
      <w:pPr>
        <w:pStyle w:val="2"/>
      </w:pPr>
      <w:r>
        <w:t>工作范围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乙方将向甲方提供本工作任务书第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条所述的技术成果及服务。</w:t>
      </w:r>
    </w:p>
    <w:p>
      <w:pPr>
        <w:pStyle w:val="2"/>
      </w:pPr>
      <w:r>
        <w:rPr>
          <w:rFonts w:hint="eastAsia"/>
        </w:rPr>
        <w:t>工作计划</w:t>
      </w:r>
    </w:p>
    <w:p>
      <w:pPr>
        <w:pStyle w:val="3"/>
      </w:pPr>
      <w:r>
        <w:t>项目需求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项目</w:t>
      </w:r>
      <w:r>
        <w:rPr>
          <w:rFonts w:asciiTheme="minorEastAsia" w:hAnsiTheme="minorEastAsia" w:eastAsiaTheme="minorEastAsia"/>
          <w:b/>
        </w:rPr>
        <w:t>：</w:t>
      </w:r>
      <w:r>
        <w:rPr>
          <w:rFonts w:hint="eastAsia" w:asciiTheme="minorEastAsia" w:hAnsiTheme="minorEastAsia" w:eastAsiaTheme="minorEastAsia"/>
          <w:b/>
        </w:rPr>
        <w:t>openGauss</w:t>
      </w:r>
      <w:r>
        <w:rPr>
          <w:rFonts w:asciiTheme="minorEastAsia" w:hAnsiTheme="minorEastAsia" w:eastAsiaTheme="minorEastAsia"/>
          <w:b/>
        </w:rPr>
        <w:t>-Oracle</w:t>
      </w:r>
      <w:r>
        <w:rPr>
          <w:rFonts w:hint="eastAsia" w:asciiTheme="minorEastAsia" w:hAnsiTheme="minorEastAsia" w:eastAsiaTheme="minorEastAsia"/>
          <w:b/>
        </w:rPr>
        <w:t>在线迁移支持在线迁移D</w:t>
      </w:r>
      <w:r>
        <w:rPr>
          <w:rFonts w:asciiTheme="minorEastAsia" w:hAnsiTheme="minorEastAsia" w:eastAsiaTheme="minorEastAsia"/>
          <w:b/>
        </w:rPr>
        <w:t>D</w:t>
      </w:r>
      <w:r>
        <w:rPr>
          <w:rFonts w:hint="eastAsia" w:asciiTheme="minorEastAsia" w:hAnsiTheme="minorEastAsia" w:eastAsiaTheme="minorEastAsia"/>
          <w:b/>
        </w:rPr>
        <w:t>L语句开发项目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功能需求</w:t>
      </w:r>
      <w:r>
        <w:rPr>
          <w:rFonts w:asciiTheme="minorEastAsia" w:hAnsiTheme="minorEastAsia" w:eastAsiaTheme="minorEastAsia"/>
          <w:b/>
        </w:rPr>
        <w:t>：Oracle</w:t>
      </w:r>
      <w:r>
        <w:rPr>
          <w:rFonts w:hint="eastAsia" w:asciiTheme="minorEastAsia" w:hAnsiTheme="minorEastAsia" w:eastAsiaTheme="minorEastAsia"/>
          <w:b/>
        </w:rPr>
        <w:t>在线迁移工具支持在线迁移A</w:t>
      </w:r>
      <w:r>
        <w:rPr>
          <w:rFonts w:asciiTheme="minorEastAsia" w:hAnsiTheme="minorEastAsia" w:eastAsiaTheme="minorEastAsia"/>
          <w:b/>
        </w:rPr>
        <w:t>LTER TABLE DROP/ADD/CHANGE/MODIFY</w:t>
      </w:r>
      <w:r>
        <w:rPr>
          <w:rFonts w:hint="eastAsia" w:asciiTheme="minorEastAsia" w:hAnsiTheme="minorEastAsia" w:eastAsiaTheme="minorEastAsia"/>
          <w:b/>
        </w:rPr>
        <w:t>语</w:t>
      </w:r>
      <w:r>
        <w:rPr>
          <w:rFonts w:asciiTheme="minorEastAsia" w:hAnsiTheme="minorEastAsia" w:eastAsiaTheme="minorEastAsia"/>
          <w:b/>
        </w:rPr>
        <w:t>法</w:t>
      </w:r>
    </w:p>
    <w:p>
      <w:pPr>
        <w:pStyle w:val="4"/>
      </w:pPr>
      <w:r>
        <w:rPr>
          <w:rFonts w:hint="eastAsia"/>
        </w:rPr>
        <w:t>需求</w:t>
      </w:r>
      <w:r>
        <w:t>描述</w:t>
      </w:r>
    </w:p>
    <w:p>
      <w:r>
        <w:t>基于openGauss开源项目</w:t>
      </w:r>
      <w:r>
        <w:rPr>
          <w:rFonts w:asciiTheme="minorEastAsia" w:hAnsiTheme="minorEastAsia" w:eastAsiaTheme="minorEastAsia"/>
          <w:b/>
        </w:rPr>
        <w:t>onlineMigration</w:t>
      </w:r>
      <w:r>
        <w:rPr>
          <w:rFonts w:hint="eastAsia" w:asciiTheme="minorEastAsia" w:hAnsiTheme="minorEastAsia" w:eastAsiaTheme="minorEastAsia"/>
          <w:b/>
        </w:rPr>
        <w:t>（</w:t>
      </w:r>
      <w:r>
        <w:rPr>
          <w:rFonts w:asciiTheme="minorEastAsia" w:hAnsiTheme="minorEastAsia" w:eastAsiaTheme="minorEastAsia"/>
          <w:b/>
        </w:rPr>
        <w:t>https://gitee.com/opengauss/openGauss-tools-onlineMigration</w:t>
      </w:r>
      <w:r>
        <w:rPr>
          <w:rFonts w:hint="eastAsia" w:asciiTheme="minorEastAsia" w:hAnsiTheme="minorEastAsia" w:eastAsiaTheme="minorEastAsia"/>
          <w:b/>
        </w:rPr>
        <w:t>）</w:t>
      </w:r>
      <w:r>
        <w:rPr>
          <w:rFonts w:hint="eastAsia"/>
        </w:rPr>
        <w:t>，</w:t>
      </w:r>
      <w:r>
        <w:rPr>
          <w:rFonts w:hint="eastAsia"/>
          <w:b/>
        </w:rPr>
        <w:t>工具的在线迁移过程中需支持D</w:t>
      </w:r>
      <w:r>
        <w:rPr>
          <w:b/>
        </w:rPr>
        <w:t>DL语句</w:t>
      </w:r>
      <w:r>
        <w:rPr>
          <w:rFonts w:hint="eastAsia"/>
          <w:b/>
        </w:rPr>
        <w:t>迁移，即在线迁移阶段，</w:t>
      </w:r>
      <w:r>
        <w:rPr>
          <w:b/>
        </w:rPr>
        <w:t>Oracle</w:t>
      </w:r>
      <w:r>
        <w:rPr>
          <w:rFonts w:hint="eastAsia"/>
          <w:b/>
        </w:rPr>
        <w:t>侧的D</w:t>
      </w:r>
      <w:r>
        <w:rPr>
          <w:b/>
        </w:rPr>
        <w:t>DL语句能够同步到</w:t>
      </w:r>
      <w:r>
        <w:t>openGauss侧并成功执行</w:t>
      </w:r>
      <w:r>
        <w:rPr>
          <w:rFonts w:hint="eastAsia"/>
        </w:rPr>
        <w:t>。需要支持的内容包括：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1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3484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ALTER TABLE DROP</w:t>
            </w:r>
          </w:p>
        </w:tc>
        <w:tc>
          <w:tcPr>
            <w:tcW w:w="4812" w:type="dxa"/>
          </w:tcPr>
          <w:p>
            <w:r>
              <w:rPr>
                <w:rStyle w:val="14"/>
                <w:sz w:val="19"/>
              </w:rPr>
              <w:t>https://docs.oracle.com/en/database/oracle/oracle-database/19/sqlrf/ALTER-TABLE.html#GUID-552E7373-BF93-477D-9DA3-B2C9386F2877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4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ALTER TABLE ADD</w:t>
            </w:r>
          </w:p>
        </w:tc>
        <w:tc>
          <w:tcPr>
            <w:tcW w:w="4812" w:type="dxa"/>
          </w:tcPr>
          <w:p>
            <w:r>
              <w:rPr>
                <w:rStyle w:val="14"/>
                <w:sz w:val="19"/>
              </w:rPr>
              <w:t>https://docs.oracle.com/en/database/oracle/oracle-database/19/sqlrf/ALTER-TABLE.html#GUID-552E7373-BF93-477D-9DA3-B2C9386F2877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4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ALTER TABLE CHANGE</w:t>
            </w:r>
          </w:p>
        </w:tc>
        <w:tc>
          <w:tcPr>
            <w:tcW w:w="4812" w:type="dxa"/>
          </w:tcPr>
          <w:p>
            <w:r>
              <w:rPr>
                <w:rStyle w:val="14"/>
                <w:sz w:val="19"/>
              </w:rPr>
              <w:t>https://docs.oracle.com/en/database/oracle/oracle-database/19/sqlrf/ALTER-TABLE.html#GUID-552E7373-BF93-477D-9DA3-B2C9386F2877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4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ALTER TABLE MODIFY</w:t>
            </w:r>
          </w:p>
        </w:tc>
        <w:tc>
          <w:tcPr>
            <w:tcW w:w="4812" w:type="dxa"/>
          </w:tcPr>
          <w:p>
            <w:pPr>
              <w:rPr>
                <w:rStyle w:val="14"/>
                <w:sz w:val="19"/>
              </w:rPr>
            </w:pPr>
            <w:r>
              <w:rPr>
                <w:rStyle w:val="14"/>
                <w:sz w:val="19"/>
              </w:rPr>
              <w:t>https://docs.oracle.com/en/database/oracle/oracle-database/19/sqlrf/ALTER-TABLE.html#GUID-552E7373-BF93-477D-9DA3-B2C9386F2877</w:t>
            </w:r>
          </w:p>
        </w:tc>
      </w:tr>
    </w:tbl>
    <w:p>
      <w:pPr>
        <w:pStyle w:val="4"/>
      </w:pPr>
      <w:r>
        <w:rPr>
          <w:rFonts w:hint="eastAsia"/>
        </w:rPr>
        <w:t>开发要求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工具的在线迁移阶段，在</w:t>
      </w:r>
      <w:r>
        <w:t>ORACLE</w:t>
      </w:r>
      <w:r>
        <w:rPr>
          <w:rFonts w:hint="eastAsia"/>
        </w:rPr>
        <w:t>侧执行</w:t>
      </w:r>
      <w:r>
        <w:t>ALTER TABLE DROP/ADD/CHANGE/MODIFY语句能够同步到openGauss侧并成功执行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t>需要提供ORACLE</w:t>
      </w:r>
      <w:r>
        <w:rPr>
          <w:rFonts w:hint="eastAsia"/>
        </w:rPr>
        <w:t>与op</w:t>
      </w:r>
      <w:r>
        <w:t>enGauss对于以上</w:t>
      </w:r>
      <w:r>
        <w:rPr>
          <w:rFonts w:hint="eastAsia"/>
        </w:rPr>
        <w:t>功能</w:t>
      </w:r>
      <w:r>
        <w:t>的差异点并提供</w:t>
      </w:r>
      <w:r>
        <w:rPr>
          <w:rFonts w:hint="eastAsia"/>
        </w:rPr>
        <w:t>迁移</w:t>
      </w:r>
      <w:r>
        <w:t>方式说明</w:t>
      </w:r>
      <w:r>
        <w:rPr>
          <w:rFonts w:hint="eastAsia"/>
        </w:rPr>
        <w:t>、</w:t>
      </w:r>
      <w:r>
        <w:t>设计文档</w:t>
      </w:r>
      <w:r>
        <w:rPr>
          <w:rFonts w:hint="eastAsia"/>
        </w:rPr>
        <w:t>、完整的</w:t>
      </w:r>
      <w:r>
        <w:t>测试用例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代码改动需合入openGauss社区，门禁通过。</w:t>
      </w:r>
    </w:p>
    <w:p>
      <w:pPr>
        <w:pStyle w:val="31"/>
        <w:numPr>
          <w:ilvl w:val="0"/>
          <w:numId w:val="3"/>
        </w:numPr>
        <w:ind w:firstLineChars="0"/>
        <w:rPr>
          <w:rStyle w:val="15"/>
          <w:rFonts w:hint="eastAsia" w:ascii="Times New Roman" w:hAnsi="Times New Roman" w:cs="Times New Roman"/>
          <w:sz w:val="21"/>
          <w:szCs w:val="21"/>
        </w:rPr>
      </w:pPr>
      <w:r>
        <w:rPr>
          <w:rStyle w:val="15"/>
          <w:rFonts w:ascii="Times New Roman" w:hAnsi="Times New Roman" w:cs="Times New Roman"/>
          <w:sz w:val="21"/>
          <w:szCs w:val="21"/>
        </w:rPr>
        <w:t>在debezium</w:t>
      </w:r>
      <w:r>
        <w:rPr>
          <w:rStyle w:val="15"/>
          <w:rFonts w:hint="eastAsia" w:ascii="Times New Roman" w:hAnsi="Times New Roman" w:cs="Times New Roman"/>
          <w:sz w:val="21"/>
          <w:szCs w:val="21"/>
        </w:rPr>
        <w:t>(</w:t>
      </w:r>
      <w:r>
        <w:fldChar w:fldCharType="begin"/>
      </w:r>
      <w:r>
        <w:instrText xml:space="preserve"> HYPERLINK "https://github.com/debezium/debezium"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t>https://github.com/debezium/debezium</w:t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fldChar w:fldCharType="end"/>
      </w:r>
      <w:r>
        <w:t>)上开发</w:t>
      </w:r>
      <w:r>
        <w:rPr>
          <w:rFonts w:hint="eastAsia"/>
        </w:rPr>
        <w:t>、</w:t>
      </w:r>
      <w:r>
        <w:t>提交代码</w:t>
      </w:r>
    </w:p>
    <w:p>
      <w:pPr>
        <w:pStyle w:val="4"/>
      </w:pPr>
      <w:r>
        <w:rPr>
          <w:rFonts w:hint="eastAsia"/>
        </w:rPr>
        <w:t>交付成果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软件交付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交付需求中所有的代码改动。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文档交付</w:t>
      </w:r>
    </w:p>
    <w:tbl>
      <w:tblPr>
        <w:tblStyle w:val="10"/>
        <w:tblW w:w="7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6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  <w:jc w:val="center"/>
        </w:trPr>
        <w:tc>
          <w:tcPr>
            <w:tcW w:w="1272" w:type="dxa"/>
            <w:shd w:val="clear" w:color="auto" w:fill="F3F3F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078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078" w:type="dxa"/>
          </w:tcPr>
          <w:p>
            <w:r>
              <w:t>ORACLE</w:t>
            </w:r>
            <w:r>
              <w:rPr>
                <w:rFonts w:hint="eastAsia"/>
              </w:rPr>
              <w:t>与</w:t>
            </w:r>
            <w:r>
              <w:t>openGauss</w:t>
            </w:r>
            <w:r>
              <w:rPr>
                <w:rFonts w:hint="eastAsia"/>
              </w:rPr>
              <w:t>关于2</w:t>
            </w:r>
            <w:r>
              <w:t>.1.1节所列语句的差异点及兼容方式说明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078" w:type="dxa"/>
          </w:tcPr>
          <w:p>
            <w:r>
              <w:t>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t>3</w:t>
            </w:r>
          </w:p>
        </w:tc>
        <w:tc>
          <w:tcPr>
            <w:tcW w:w="6078" w:type="dxa"/>
          </w:tcPr>
          <w:p>
            <w:r>
              <w:rPr>
                <w:rFonts w:hint="eastAsia"/>
              </w:rPr>
              <w:t>测试报告</w:t>
            </w:r>
          </w:p>
        </w:tc>
      </w:tr>
    </w:tbl>
    <w:p>
      <w:pPr>
        <w:pStyle w:val="4"/>
      </w:pPr>
      <w:r>
        <w:rPr>
          <w:rFonts w:hint="eastAsia"/>
        </w:rPr>
        <w:t>其他要求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输出代码不得引用GNU General Public License、GPLv2/v3、AGPL 的库文件或代码。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使用的第三方软件清单列表，引入和刷新第三方时软件要及时知会华为方并经过华为方同意。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项目结束后，开发者需要继续三个月的bug维护期，维护期间对bug应做到2天内响应给出方案，1周内解决。</w:t>
      </w:r>
    </w:p>
    <w:p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>
      <w:pPr>
        <w:pStyle w:val="3"/>
      </w:pPr>
      <w:r>
        <w:rPr>
          <w:rFonts w:hint="eastAsia"/>
        </w:rPr>
        <w:t>验收要求</w:t>
      </w:r>
    </w:p>
    <w:p>
      <w:pPr>
        <w:pStyle w:val="4"/>
      </w:pPr>
      <w:r>
        <w:rPr>
          <w:rFonts w:hint="eastAsia"/>
        </w:rPr>
        <w:t>验收方式</w:t>
      </w:r>
    </w:p>
    <w:p>
      <w:pPr>
        <w:pStyle w:val="31"/>
        <w:numPr>
          <w:ilvl w:val="0"/>
          <w:numId w:val="4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要求openGauss社区门禁的单元测试用例测试通过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质量标准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24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Goal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>
      <w:pPr>
        <w:pStyle w:val="2"/>
      </w:pPr>
      <w:r>
        <w:rPr>
          <w:rFonts w:hint="eastAsia"/>
        </w:rPr>
        <w:t>交付计划</w:t>
      </w:r>
    </w:p>
    <w:p>
      <w:r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1701"/>
        <w:gridCol w:w="2246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woUserID w:val="1"/>
              </w:rPr>
              <w:t>T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7F7F7"/>
                <w:woUserID w:val="1"/>
              </w:rPr>
              <w:t>~</w:t>
            </w:r>
            <w:r>
              <w:rPr>
                <w:woUserID w:val="1"/>
              </w:rPr>
              <w:t xml:space="preserve">T + </w:t>
            </w:r>
            <w:r>
              <w:rPr>
                <w:woUserID w:val="1"/>
              </w:rPr>
              <w:t>4</w:t>
            </w:r>
            <w:bookmarkStart w:id="0" w:name="_GoBack"/>
            <w:bookmarkEnd w:id="0"/>
            <w:r>
              <w:rPr>
                <w:woUserID w:val="1"/>
              </w:rPr>
              <w:t>月</w:t>
            </w:r>
          </w:p>
        </w:tc>
        <w:tc>
          <w:tcPr>
            <w:tcW w:w="1418" w:type="dxa"/>
          </w:tcPr>
          <w:p>
            <w:r>
              <w:rPr>
                <w:rFonts w:hint="eastAsia" w:ascii="Arial" w:hAnsi="Arial" w:cs="Arial"/>
                <w:sz w:val="18"/>
              </w:rPr>
              <w:t>第一阶段需求交付</w:t>
            </w:r>
          </w:p>
        </w:tc>
        <w:tc>
          <w:tcPr>
            <w:tcW w:w="1701" w:type="dxa"/>
          </w:tcPr>
          <w:p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hint="eastAsia"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.1.3章节要求交付</w:t>
            </w:r>
          </w:p>
        </w:tc>
        <w:tc>
          <w:tcPr>
            <w:tcW w:w="2246" w:type="dxa"/>
          </w:tcPr>
          <w:p>
            <w:r>
              <w:t>交付</w:t>
            </w:r>
            <w:r>
              <w:rPr>
                <w:rFonts w:asciiTheme="minorEastAsia" w:hAnsiTheme="minorEastAsia" w:eastAsiaTheme="minorEastAsia"/>
                <w:b/>
              </w:rPr>
              <w:t>onlineMigration</w:t>
            </w:r>
            <w:r>
              <w:rPr>
                <w:rFonts w:hint="eastAsia"/>
              </w:rPr>
              <w:t>工具的在线迁移阶段支持迁移</w:t>
            </w:r>
            <w:r>
              <w:t>ORACLE</w:t>
            </w:r>
            <w:r>
              <w:rPr>
                <w:rFonts w:hint="eastAsia"/>
              </w:rPr>
              <w:t>的DDL到openGauss。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交付件完整；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社区测试门禁运行通过，代码满足社区编码规范；</w:t>
            </w:r>
          </w:p>
          <w:p>
            <w:r>
              <w:rPr>
                <w:rFonts w:hint="eastAsia"/>
              </w:rPr>
              <w:t>3、 2</w:t>
            </w:r>
            <w:r>
              <w:t>.1.2章节中各要求达标</w:t>
            </w:r>
            <w:r>
              <w:rPr>
                <w:rFonts w:hint="eastAsia"/>
              </w:rPr>
              <w:t>。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otum">
    <w:altName w:val="汉仪书宋二KW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DotumChe">
    <w:altName w:val="汉仪书宋二KW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14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27"/>
      <w:gridCol w:w="2850"/>
      <w:gridCol w:w="253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2927" w:type="dxa"/>
        </w:tcPr>
        <w:p>
          <w:pPr>
            <w:pStyle w:val="7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2021-11-11</w:t>
          </w:r>
          <w:r>
            <w:fldChar w:fldCharType="end"/>
          </w:r>
        </w:p>
      </w:tc>
      <w:tc>
        <w:tcPr>
          <w:tcW w:w="2850" w:type="dxa"/>
        </w:tcPr>
        <w:p>
          <w:pPr>
            <w:pStyle w:val="7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2537" w:type="dxa"/>
        </w:tcPr>
        <w:p>
          <w:pPr>
            <w:pStyle w:val="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06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31"/>
      <w:gridCol w:w="5814"/>
      <w:gridCol w:w="16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831" w:type="dxa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4" w:type="dxa"/>
          <w:vAlign w:val="bottom"/>
        </w:tcPr>
        <w:p>
          <w:pPr>
            <w:pStyle w:val="8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661" w:type="dxa"/>
          <w:vAlign w:val="bottom"/>
        </w:tcPr>
        <w:p>
          <w:pPr>
            <w:pStyle w:val="8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8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15A2"/>
    <w:multiLevelType w:val="multilevel"/>
    <w:tmpl w:val="2F4B15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7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444D78CE"/>
    <w:multiLevelType w:val="multilevel"/>
    <w:tmpl w:val="444D78C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AB4347"/>
    <w:multiLevelType w:val="multilevel"/>
    <w:tmpl w:val="51AB4347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5A42"/>
    <w:rsid w:val="000066A5"/>
    <w:rsid w:val="00027654"/>
    <w:rsid w:val="00035469"/>
    <w:rsid w:val="00041E03"/>
    <w:rsid w:val="00042B7F"/>
    <w:rsid w:val="0004352B"/>
    <w:rsid w:val="00045027"/>
    <w:rsid w:val="00047E4B"/>
    <w:rsid w:val="000560B2"/>
    <w:rsid w:val="00057444"/>
    <w:rsid w:val="00061561"/>
    <w:rsid w:val="000A1CA8"/>
    <w:rsid w:val="000A49E2"/>
    <w:rsid w:val="000C3507"/>
    <w:rsid w:val="000D6388"/>
    <w:rsid w:val="000F4C04"/>
    <w:rsid w:val="000F7B89"/>
    <w:rsid w:val="001039A2"/>
    <w:rsid w:val="00113241"/>
    <w:rsid w:val="0011472A"/>
    <w:rsid w:val="00152B8F"/>
    <w:rsid w:val="0015323B"/>
    <w:rsid w:val="001608A7"/>
    <w:rsid w:val="0016404A"/>
    <w:rsid w:val="00187B7A"/>
    <w:rsid w:val="00193C4E"/>
    <w:rsid w:val="001A30DA"/>
    <w:rsid w:val="001B27FB"/>
    <w:rsid w:val="001B5ADE"/>
    <w:rsid w:val="001D1D8C"/>
    <w:rsid w:val="001D6AD1"/>
    <w:rsid w:val="001E561E"/>
    <w:rsid w:val="001F0E4E"/>
    <w:rsid w:val="00215951"/>
    <w:rsid w:val="00223F5A"/>
    <w:rsid w:val="00231423"/>
    <w:rsid w:val="00233CC6"/>
    <w:rsid w:val="00240776"/>
    <w:rsid w:val="00254916"/>
    <w:rsid w:val="002646EA"/>
    <w:rsid w:val="002720CC"/>
    <w:rsid w:val="002858FB"/>
    <w:rsid w:val="002A6E66"/>
    <w:rsid w:val="002B0B38"/>
    <w:rsid w:val="002B1642"/>
    <w:rsid w:val="002C6B46"/>
    <w:rsid w:val="002F7671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90077"/>
    <w:rsid w:val="003C5C45"/>
    <w:rsid w:val="003C5D3E"/>
    <w:rsid w:val="003F2EE5"/>
    <w:rsid w:val="00425F62"/>
    <w:rsid w:val="004306D8"/>
    <w:rsid w:val="00454146"/>
    <w:rsid w:val="004715A1"/>
    <w:rsid w:val="004973CF"/>
    <w:rsid w:val="004F4C9B"/>
    <w:rsid w:val="0050253A"/>
    <w:rsid w:val="00506515"/>
    <w:rsid w:val="00523FB6"/>
    <w:rsid w:val="0054185C"/>
    <w:rsid w:val="005933FF"/>
    <w:rsid w:val="005A2384"/>
    <w:rsid w:val="005B42F2"/>
    <w:rsid w:val="005B76E8"/>
    <w:rsid w:val="005C244B"/>
    <w:rsid w:val="005C5E16"/>
    <w:rsid w:val="005D0B98"/>
    <w:rsid w:val="005D3EE6"/>
    <w:rsid w:val="005D467D"/>
    <w:rsid w:val="005D5A1A"/>
    <w:rsid w:val="005D7645"/>
    <w:rsid w:val="005E33C2"/>
    <w:rsid w:val="00620DD0"/>
    <w:rsid w:val="00634265"/>
    <w:rsid w:val="0064278A"/>
    <w:rsid w:val="006A5851"/>
    <w:rsid w:val="006A6AAC"/>
    <w:rsid w:val="006D706C"/>
    <w:rsid w:val="006D7518"/>
    <w:rsid w:val="00710F3C"/>
    <w:rsid w:val="0071233F"/>
    <w:rsid w:val="007268F9"/>
    <w:rsid w:val="0075012D"/>
    <w:rsid w:val="00766F94"/>
    <w:rsid w:val="007747B2"/>
    <w:rsid w:val="00775BB5"/>
    <w:rsid w:val="00780144"/>
    <w:rsid w:val="00791C48"/>
    <w:rsid w:val="00792F11"/>
    <w:rsid w:val="007951F4"/>
    <w:rsid w:val="007B69F4"/>
    <w:rsid w:val="007B705D"/>
    <w:rsid w:val="007C4C3D"/>
    <w:rsid w:val="007D240D"/>
    <w:rsid w:val="0086462D"/>
    <w:rsid w:val="008815FD"/>
    <w:rsid w:val="00883508"/>
    <w:rsid w:val="008A69B9"/>
    <w:rsid w:val="008B2E69"/>
    <w:rsid w:val="008B78A8"/>
    <w:rsid w:val="008C333A"/>
    <w:rsid w:val="008D569E"/>
    <w:rsid w:val="008D57C9"/>
    <w:rsid w:val="008D72BA"/>
    <w:rsid w:val="0090705C"/>
    <w:rsid w:val="0093331C"/>
    <w:rsid w:val="00934E26"/>
    <w:rsid w:val="00941024"/>
    <w:rsid w:val="00941164"/>
    <w:rsid w:val="0095130A"/>
    <w:rsid w:val="00961333"/>
    <w:rsid w:val="009626D2"/>
    <w:rsid w:val="00970B77"/>
    <w:rsid w:val="00977180"/>
    <w:rsid w:val="009773F9"/>
    <w:rsid w:val="009B1AD6"/>
    <w:rsid w:val="009C2FD3"/>
    <w:rsid w:val="009C3A0F"/>
    <w:rsid w:val="009F48D8"/>
    <w:rsid w:val="00A0615B"/>
    <w:rsid w:val="00A13D38"/>
    <w:rsid w:val="00A23FDE"/>
    <w:rsid w:val="00A41887"/>
    <w:rsid w:val="00A4631C"/>
    <w:rsid w:val="00A56036"/>
    <w:rsid w:val="00A61B59"/>
    <w:rsid w:val="00AA3D6E"/>
    <w:rsid w:val="00AA7C3F"/>
    <w:rsid w:val="00AB5BB2"/>
    <w:rsid w:val="00AB78E4"/>
    <w:rsid w:val="00AC1652"/>
    <w:rsid w:val="00AC5CDB"/>
    <w:rsid w:val="00AE0CF6"/>
    <w:rsid w:val="00B0497F"/>
    <w:rsid w:val="00B12180"/>
    <w:rsid w:val="00B15E02"/>
    <w:rsid w:val="00B6102F"/>
    <w:rsid w:val="00B62622"/>
    <w:rsid w:val="00B831C4"/>
    <w:rsid w:val="00B97012"/>
    <w:rsid w:val="00BA7F2D"/>
    <w:rsid w:val="00BC6A39"/>
    <w:rsid w:val="00BE3AB2"/>
    <w:rsid w:val="00BE5FDC"/>
    <w:rsid w:val="00BF04BE"/>
    <w:rsid w:val="00BF4C8D"/>
    <w:rsid w:val="00C058EE"/>
    <w:rsid w:val="00C118E7"/>
    <w:rsid w:val="00C1438A"/>
    <w:rsid w:val="00C216AC"/>
    <w:rsid w:val="00C45F71"/>
    <w:rsid w:val="00C50E82"/>
    <w:rsid w:val="00C53AFA"/>
    <w:rsid w:val="00C65870"/>
    <w:rsid w:val="00C75DCC"/>
    <w:rsid w:val="00CA019E"/>
    <w:rsid w:val="00CC1E1E"/>
    <w:rsid w:val="00CD60CA"/>
    <w:rsid w:val="00CD7054"/>
    <w:rsid w:val="00CD7618"/>
    <w:rsid w:val="00CF3467"/>
    <w:rsid w:val="00CF4CFF"/>
    <w:rsid w:val="00CF594F"/>
    <w:rsid w:val="00D0183A"/>
    <w:rsid w:val="00D110CF"/>
    <w:rsid w:val="00D1178D"/>
    <w:rsid w:val="00D11B27"/>
    <w:rsid w:val="00D16C4C"/>
    <w:rsid w:val="00D41E35"/>
    <w:rsid w:val="00D60DD9"/>
    <w:rsid w:val="00D66BD5"/>
    <w:rsid w:val="00D6738D"/>
    <w:rsid w:val="00D87114"/>
    <w:rsid w:val="00DA3092"/>
    <w:rsid w:val="00DA4B25"/>
    <w:rsid w:val="00DC63DF"/>
    <w:rsid w:val="00DE6E3D"/>
    <w:rsid w:val="00E06012"/>
    <w:rsid w:val="00E1210E"/>
    <w:rsid w:val="00E30747"/>
    <w:rsid w:val="00E35629"/>
    <w:rsid w:val="00E45CE5"/>
    <w:rsid w:val="00E612B8"/>
    <w:rsid w:val="00E851EC"/>
    <w:rsid w:val="00EA74C6"/>
    <w:rsid w:val="00EA7D14"/>
    <w:rsid w:val="00EC2EDF"/>
    <w:rsid w:val="00EC5048"/>
    <w:rsid w:val="00EE2438"/>
    <w:rsid w:val="00EE58DB"/>
    <w:rsid w:val="00EF142E"/>
    <w:rsid w:val="00EF3524"/>
    <w:rsid w:val="00F36004"/>
    <w:rsid w:val="00F636EA"/>
    <w:rsid w:val="00F83F5D"/>
    <w:rsid w:val="00FE5AF0"/>
    <w:rsid w:val="00FF77C6"/>
    <w:rsid w:val="39AAE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semiHidden/>
    <w:unhideWhenUsed/>
    <w:uiPriority w:val="0"/>
    <w:pPr>
      <w:spacing w:line="400" w:lineRule="exact"/>
      <w:ind w:firstLine="200" w:firstLineChars="200"/>
    </w:pPr>
    <w:rPr>
      <w:rFonts w:ascii="宋体" w:cs="宋体"/>
      <w:snapToGrid/>
      <w:sz w:val="24"/>
    </w:rPr>
  </w:style>
  <w:style w:type="paragraph" w:styleId="6">
    <w:name w:val="Balloon Text"/>
    <w:basedOn w:val="1"/>
    <w:link w:val="30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llowedHyperlink"/>
    <w:basedOn w:val="12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6">
    <w:name w:val="annotation reference"/>
    <w:basedOn w:val="12"/>
    <w:semiHidden/>
    <w:unhideWhenUsed/>
    <w:uiPriority w:val="0"/>
    <w:rPr>
      <w:sz w:val="21"/>
      <w:szCs w:val="21"/>
    </w:rPr>
  </w:style>
  <w:style w:type="paragraph" w:customStyle="1" w:styleId="17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">
    <w:name w:val="表样式"/>
    <w:basedOn w:val="10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21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23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4">
    <w:name w:val="正文（首行不缩进）"/>
    <w:basedOn w:val="1"/>
    <w:uiPriority w:val="0"/>
  </w:style>
  <w:style w:type="paragraph" w:customStyle="1" w:styleId="25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6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7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8">
    <w:name w:val="样式一"/>
    <w:basedOn w:val="12"/>
    <w:uiPriority w:val="0"/>
    <w:rPr>
      <w:rFonts w:ascii="宋体" w:hAnsi="宋体"/>
      <w:b/>
      <w:bCs/>
      <w:color w:val="000000"/>
      <w:sz w:val="36"/>
    </w:rPr>
  </w:style>
  <w:style w:type="character" w:customStyle="1" w:styleId="29">
    <w:name w:val="样式二"/>
    <w:basedOn w:val="28"/>
    <w:uiPriority w:val="0"/>
    <w:rPr>
      <w:rFonts w:ascii="宋体" w:hAnsi="宋体"/>
      <w:color w:val="000000"/>
      <w:sz w:val="36"/>
    </w:rPr>
  </w:style>
  <w:style w:type="character" w:customStyle="1" w:styleId="30">
    <w:name w:val="批注框文本 Char"/>
    <w:basedOn w:val="12"/>
    <w:link w:val="6"/>
    <w:uiPriority w:val="0"/>
    <w:rPr>
      <w:snapToGrid w:val="0"/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Char"/>
    <w:basedOn w:val="12"/>
    <w:link w:val="9"/>
    <w:uiPriority w:val="0"/>
    <w:rPr>
      <w:rFonts w:asciiTheme="majorHAnsi" w:hAnsiTheme="majorHAnsi" w:cstheme="majorBidi"/>
      <w:b/>
      <w:bCs/>
      <w:snapToGrid w:val="0"/>
      <w:sz w:val="32"/>
      <w:szCs w:val="32"/>
    </w:rPr>
  </w:style>
  <w:style w:type="character" w:customStyle="1" w:styleId="33">
    <w:name w:val="批注文字 Char"/>
    <w:basedOn w:val="12"/>
    <w:link w:val="5"/>
    <w:semiHidden/>
    <w:uiPriority w:val="0"/>
    <w:rPr>
      <w:rFonts w:ascii="宋体" w:cs="宋体"/>
      <w:sz w:val="24"/>
      <w:szCs w:val="21"/>
    </w:rPr>
  </w:style>
  <w:style w:type="paragraph" w:customStyle="1" w:styleId="34">
    <w:name w:val="Normal1"/>
    <w:basedOn w:val="1"/>
    <w:uiPriority w:val="0"/>
    <w:pPr>
      <w:widowControl/>
      <w:overflowPunct w:val="0"/>
      <w:spacing w:line="240" w:lineRule="auto"/>
      <w:ind w:firstLine="200" w:firstLineChars="200"/>
      <w:jc w:val="both"/>
      <w:textAlignment w:val="baseline"/>
    </w:pPr>
    <w:rPr>
      <w:rFonts w:ascii="宋体"/>
      <w:snapToGrid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Huawei Technologies Co.,Ltd.</Company>
  <Pages>4</Pages>
  <Words>297</Words>
  <Characters>1696</Characters>
  <Lines>14</Lines>
  <Paragraphs>3</Paragraphs>
  <TotalTime>0</TotalTime>
  <ScaleCrop>false</ScaleCrop>
  <LinksUpToDate>false</LinksUpToDate>
  <CharactersWithSpaces>1990</CharactersWithSpaces>
  <Application>WWO_wpscloud_20210819110705-818f33d6d3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2021-10-27T11:16:00Z</dcterms:created>
  <dc:creator>Wuweinan (Weinan Wu, Intelligence Computing R&amp;D)</dc:creator>
  <cp:lastModifiedBy>ganyang (A)</cp:lastModifiedBy>
  <dcterms:modified xsi:type="dcterms:W3CDTF">2021-11-11T14:26:55Z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(3)JCElnPMMRIR5Z9KuNV1eUp2IulQTNLSCqKy2+vi4IAsZDO1+yKDvFUKmAQ+WFSO01NTWv9Uy
7VyG0h/KGBn6sTb9ZiF0YSpXUoBtCG0awMPMKDg2soBmu7ne7/9/np95JYQhyIPq08T8ihdh
sfKMlLsjSGs6IPuYgBlA7NxpMzV3lzkqfuD3rDPSTdcIf2BypQYE7kciNhc6UK+Ca+lYI4R3
8XLfxXRy0qK02jxLLn</vt:lpwstr>
  </property>
  <property fmtid="{D5CDD505-2E9C-101B-9397-08002B2CF9AE}" pid="3" name="_2015_ms_pID_7253431">
    <vt:lpwstr>WPfm5emv+ODs3zdjZx25Z5BwDO94inAmnrRHg2I00mDbhgrZcGr+ks
lfWytL6RQq19lyUdqYhvB+jgyNaD/VtB9AWsAmDF8loZ14xERkeeKU3z2E0KxvqvNmBsX/t8
tLR5eEBaAc/7gxndkPDIeQVKjG+T+c+yyZOfrmqFMziCED4vb57W+020uhJu9G87TBvoFGo8
Uin5b2IDpfRXrG2HwcJwc2MD9LqDtcoaJc8G</vt:lpwstr>
  </property>
  <property fmtid="{D5CDD505-2E9C-101B-9397-08002B2CF9AE}" pid="4" name="_2015_ms_pID_7253432">
    <vt:lpwstr>ag==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1636544077</vt:lpwstr>
  </property>
  <property fmtid="{D5CDD505-2E9C-101B-9397-08002B2CF9AE}" pid="9" name="KSOProductBuildVer">
    <vt:lpwstr>2052-0.0.0.0</vt:lpwstr>
  </property>
</Properties>
</file>