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在线迁移工具支持在线迁移D</w:t>
      </w:r>
      <w:r>
        <w:t>DL语句</w:t>
      </w:r>
      <w:r>
        <w:rPr>
          <w:rFonts w:hint="eastAsia"/>
        </w:rPr>
        <w:t>开发合作项目</w:t>
      </w:r>
      <w:r>
        <w:t>4</w:t>
      </w:r>
      <w:r>
        <w:rPr>
          <w:rFonts w:hint="eastAsia"/>
        </w:rPr>
        <w:t>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在线迁移支持在线迁移D</w:t>
      </w:r>
      <w:r>
        <w:rPr>
          <w:rFonts w:asciiTheme="minorEastAsia" w:hAnsiTheme="minorEastAsia" w:eastAsiaTheme="minorEastAsia"/>
          <w:b/>
        </w:rPr>
        <w:t>D</w:t>
      </w:r>
      <w:r>
        <w:rPr>
          <w:rFonts w:hint="eastAsia" w:asciiTheme="minorEastAsia" w:hAnsiTheme="minorEastAsia" w:eastAsiaTheme="minorEastAsia"/>
          <w:b/>
        </w:rPr>
        <w:t>L语句开发项目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</w:t>
      </w:r>
      <w:r>
        <w:rPr>
          <w:rFonts w:asciiTheme="minorEastAsia" w:hAnsiTheme="minorEastAsia" w:eastAsiaTheme="minorEastAsia"/>
          <w:b/>
        </w:rPr>
        <w:t>CREATE/DROP INDEX/DROP PRIMARY KEY</w:t>
      </w:r>
      <w:r>
        <w:rPr>
          <w:rFonts w:hint="eastAsia" w:asciiTheme="minorEastAsia" w:hAnsiTheme="minorEastAsia" w:eastAsiaTheme="minorEastAsia"/>
          <w:b/>
        </w:rPr>
        <w:t>语</w:t>
      </w:r>
      <w:r>
        <w:rPr>
          <w:rFonts w:asciiTheme="minorEastAsia" w:hAnsiTheme="minorEastAsia" w:eastAsiaTheme="minorEastAsia"/>
          <w:b/>
        </w:rPr>
        <w:t>法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工具的在线迁移过程中需支持D</w:t>
      </w:r>
      <w:r>
        <w:rPr>
          <w:b/>
        </w:rPr>
        <w:t>DL语句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侧的D</w:t>
      </w:r>
      <w:r>
        <w:rPr>
          <w:b/>
        </w:rPr>
        <w:t>DL语句能够同步到</w:t>
      </w:r>
      <w:r>
        <w:t>openGauss侧并成功执行</w:t>
      </w:r>
      <w:r>
        <w:rPr>
          <w:rFonts w:hint="eastAsia"/>
        </w:rPr>
        <w:t>。需要支持的内容包括：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6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 xml:space="preserve">CREATE KEY 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https://docs.oracle.com/en/database/oracle/oracle-database/19/vldbg/partition-create-tables-indexes.html#GUID-DF75897A-DF8D-4AF3-AECF-748D60A94949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DROP INDEX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https://docs.oracle.com/cd/B19306_01/server.102/b14200/statements_8015.htm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 xml:space="preserve">DROP PRIMARY </w:t>
            </w:r>
            <w:r>
              <w:rPr>
                <w:rFonts w:hint="eastAsia" w:asciiTheme="minorEastAsia" w:hAnsiTheme="minorEastAsia" w:eastAsiaTheme="minorEastAsia"/>
                <w:b/>
              </w:rPr>
              <w:t>KEY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https://techgoeasy.com/drop-constraint-in-oracle/</w:t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侧执行CREATE/DROP INDEX/DROP PRIMARY KEY语法</w:t>
      </w:r>
      <w:r>
        <w:t>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/>
    <w:p/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 xml:space="preserve">T + </w:t>
            </w:r>
            <w:r>
              <w:rPr>
                <w:woUserID w:val="1"/>
              </w:rPr>
              <w:t>4</w:t>
            </w:r>
            <w:bookmarkStart w:id="0" w:name="_GoBack"/>
            <w:bookmarkEnd w:id="0"/>
            <w:r>
              <w:rPr>
                <w:woUserID w:val="1"/>
              </w:rPr>
              <w:t>月</w:t>
            </w:r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的DDL到openGauss。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49E2"/>
    <w:rsid w:val="000B450F"/>
    <w:rsid w:val="000C3507"/>
    <w:rsid w:val="000D6388"/>
    <w:rsid w:val="000F4C04"/>
    <w:rsid w:val="000F7B89"/>
    <w:rsid w:val="001039A2"/>
    <w:rsid w:val="0011472A"/>
    <w:rsid w:val="0013745E"/>
    <w:rsid w:val="00152B8F"/>
    <w:rsid w:val="0015323B"/>
    <w:rsid w:val="00155D6A"/>
    <w:rsid w:val="001608A7"/>
    <w:rsid w:val="0016404A"/>
    <w:rsid w:val="00187B7A"/>
    <w:rsid w:val="00193C4E"/>
    <w:rsid w:val="001A30DA"/>
    <w:rsid w:val="001B27FB"/>
    <w:rsid w:val="001B5ADE"/>
    <w:rsid w:val="001D1D8C"/>
    <w:rsid w:val="001D6AD1"/>
    <w:rsid w:val="001E561E"/>
    <w:rsid w:val="001F0E4E"/>
    <w:rsid w:val="001F2F69"/>
    <w:rsid w:val="00215951"/>
    <w:rsid w:val="002214DC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91924"/>
    <w:rsid w:val="00392FFB"/>
    <w:rsid w:val="003C5C45"/>
    <w:rsid w:val="003C5D3E"/>
    <w:rsid w:val="003F2EE5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4185C"/>
    <w:rsid w:val="00547D05"/>
    <w:rsid w:val="005755CA"/>
    <w:rsid w:val="005933FF"/>
    <w:rsid w:val="005A2384"/>
    <w:rsid w:val="005B42F2"/>
    <w:rsid w:val="005B76E8"/>
    <w:rsid w:val="005C244B"/>
    <w:rsid w:val="005C5E16"/>
    <w:rsid w:val="005D0B98"/>
    <w:rsid w:val="005D3EE6"/>
    <w:rsid w:val="005D5A1A"/>
    <w:rsid w:val="005D7645"/>
    <w:rsid w:val="005E33C2"/>
    <w:rsid w:val="005F4C86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69F4"/>
    <w:rsid w:val="007B705D"/>
    <w:rsid w:val="007C4C3D"/>
    <w:rsid w:val="007D240D"/>
    <w:rsid w:val="007E15DD"/>
    <w:rsid w:val="007F63A9"/>
    <w:rsid w:val="0086462D"/>
    <w:rsid w:val="008815FD"/>
    <w:rsid w:val="00883508"/>
    <w:rsid w:val="008A69B9"/>
    <w:rsid w:val="008B2E69"/>
    <w:rsid w:val="008B78A8"/>
    <w:rsid w:val="008C333A"/>
    <w:rsid w:val="008D569E"/>
    <w:rsid w:val="008D57C9"/>
    <w:rsid w:val="008D72BA"/>
    <w:rsid w:val="0090705C"/>
    <w:rsid w:val="009211D4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4631C"/>
    <w:rsid w:val="00A56036"/>
    <w:rsid w:val="00A61B59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431A7"/>
    <w:rsid w:val="00B6102F"/>
    <w:rsid w:val="00B62622"/>
    <w:rsid w:val="00B7708E"/>
    <w:rsid w:val="00B8058D"/>
    <w:rsid w:val="00B831C4"/>
    <w:rsid w:val="00B97012"/>
    <w:rsid w:val="00BA7F2D"/>
    <w:rsid w:val="00BB31F1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A019E"/>
    <w:rsid w:val="00CC1E1E"/>
    <w:rsid w:val="00CD24E8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26974"/>
    <w:rsid w:val="00D41E35"/>
    <w:rsid w:val="00D60DD9"/>
    <w:rsid w:val="00D66BD5"/>
    <w:rsid w:val="00D6738D"/>
    <w:rsid w:val="00D87114"/>
    <w:rsid w:val="00DA3092"/>
    <w:rsid w:val="00DA4B25"/>
    <w:rsid w:val="00DC63DF"/>
    <w:rsid w:val="00DE6E3D"/>
    <w:rsid w:val="00E06012"/>
    <w:rsid w:val="00E1210E"/>
    <w:rsid w:val="00E30747"/>
    <w:rsid w:val="00E35629"/>
    <w:rsid w:val="00E45CE5"/>
    <w:rsid w:val="00E612B8"/>
    <w:rsid w:val="00E851EC"/>
    <w:rsid w:val="00EA74C6"/>
    <w:rsid w:val="00EA7D14"/>
    <w:rsid w:val="00EB648F"/>
    <w:rsid w:val="00EC2EDF"/>
    <w:rsid w:val="00EC5048"/>
    <w:rsid w:val="00EE2438"/>
    <w:rsid w:val="00EE4C9D"/>
    <w:rsid w:val="00EE58DB"/>
    <w:rsid w:val="00EF142E"/>
    <w:rsid w:val="00EF3524"/>
    <w:rsid w:val="00F36004"/>
    <w:rsid w:val="00F636EA"/>
    <w:rsid w:val="00F82B0C"/>
    <w:rsid w:val="00F83F5D"/>
    <w:rsid w:val="00FE5AF0"/>
    <w:rsid w:val="00FF77C6"/>
    <w:rsid w:val="FBDEA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3</Pages>
  <Words>257</Words>
  <Characters>1465</Characters>
  <Lines>12</Lines>
  <Paragraphs>3</Paragraphs>
  <TotalTime>0</TotalTime>
  <ScaleCrop>false</ScaleCrop>
  <LinksUpToDate>false</LinksUpToDate>
  <CharactersWithSpaces>1719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(3)5tGba7+u2IwAVb0LkeNVflu8l8iSJSz7f9+VqcgFemiAKr45w6XCpB9hmm8idkDylxpL7qWv
xceRoI90u3QQu0qZVEIVj9eBSLZfevKRMwKXNqoxd2zoe6yeIrDK0zpgdbVlVkZr4h052gIH
tw6poBWdCw42Q8jss6eYuR71R3ywHlTnzzJvMJoMMahH6frwJcJnwQ8+xYMC0XmagInZP1au
J/PFIcPFXiDeSeVfUT</vt:lpwstr>
  </property>
  <property fmtid="{D5CDD505-2E9C-101B-9397-08002B2CF9AE}" pid="3" name="_2015_ms_pID_7253431">
    <vt:lpwstr>wEmvRbLnkT9fKsTCoVFRISYx8cfQcwNeIHpHId/Va2Mc5Jc4LHdQqb
2IlhZAgnTX3rGSKgccwcWAlsQ/QmjAbDxHewi7UypCycKuysZVhvo6KcKPAizpda4ShYglaa
CtFB01+KjE6mHyMNEFfoujBSemjE55OjanqIYohrC82i2Ova+zJJWJzv2F48KVSMnOml1EWU
AUpANY0zC0+vIGXLBnBbZo8LoK4hVCdiF4+n</vt:lpwstr>
  </property>
  <property fmtid="{D5CDD505-2E9C-101B-9397-08002B2CF9AE}" pid="4" name="_2015_ms_pID_7253432">
    <vt:lpwstr>Wh8+QD2g3xAIxUzzy7yQcTM=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