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r>
        <w:rPr>
          <w:rFonts w:hint="eastAsia"/>
        </w:rPr>
        <w:t>openGauss-</w:t>
      </w:r>
      <w:r>
        <w:t>Oracle</w:t>
      </w:r>
      <w:r>
        <w:rPr>
          <w:rFonts w:hint="eastAsia"/>
        </w:rPr>
        <w:t>在线迁移工具支持在线迁移D</w:t>
      </w:r>
      <w:r>
        <w:t>DL语句</w:t>
      </w:r>
      <w:r>
        <w:rPr>
          <w:rFonts w:hint="eastAsia"/>
        </w:rPr>
        <w:t>开发合作项目</w:t>
      </w:r>
      <w:r>
        <w:t>6</w:t>
      </w:r>
      <w:r>
        <w:rPr>
          <w:rFonts w:hint="eastAsia"/>
        </w:rPr>
        <w:t>_SOW</w:t>
      </w:r>
    </w:p>
    <w:p>
      <w:pPr>
        <w:pStyle w:val="2"/>
      </w:pPr>
      <w:r>
        <w:t>工作范围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乙方将向甲方提供本工作任务书第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条所述的技术成果及服务。</w:t>
      </w:r>
    </w:p>
    <w:p>
      <w:pPr>
        <w:pStyle w:val="2"/>
      </w:pPr>
      <w:r>
        <w:rPr>
          <w:rFonts w:hint="eastAsia"/>
        </w:rPr>
        <w:t>工作计划</w:t>
      </w:r>
    </w:p>
    <w:p>
      <w:pPr>
        <w:pStyle w:val="3"/>
      </w:pPr>
      <w:r>
        <w:t>项目需求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项目</w:t>
      </w:r>
      <w:r>
        <w:rPr>
          <w:rFonts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  <w:b/>
        </w:rPr>
        <w:t>openGauss</w:t>
      </w:r>
      <w:r>
        <w:rPr>
          <w:rFonts w:asciiTheme="minorEastAsia" w:hAnsiTheme="minorEastAsia" w:eastAsiaTheme="minorEastAsia"/>
          <w:b/>
        </w:rPr>
        <w:t>-Oracle</w:t>
      </w:r>
      <w:r>
        <w:rPr>
          <w:rFonts w:hint="eastAsia" w:asciiTheme="minorEastAsia" w:hAnsiTheme="minorEastAsia" w:eastAsiaTheme="minorEastAsia"/>
          <w:b/>
        </w:rPr>
        <w:t>在线迁移支持在线迁移D</w:t>
      </w:r>
      <w:r>
        <w:rPr>
          <w:rFonts w:asciiTheme="minorEastAsia" w:hAnsiTheme="minorEastAsia" w:eastAsiaTheme="minorEastAsia"/>
          <w:b/>
        </w:rPr>
        <w:t>D</w:t>
      </w:r>
      <w:r>
        <w:rPr>
          <w:rFonts w:hint="eastAsia" w:asciiTheme="minorEastAsia" w:hAnsiTheme="minorEastAsia" w:eastAsiaTheme="minorEastAsia"/>
          <w:b/>
        </w:rPr>
        <w:t>L语句开发项目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功能需求</w:t>
      </w:r>
      <w:r>
        <w:rPr>
          <w:rFonts w:asciiTheme="minorEastAsia" w:hAnsiTheme="minorEastAsia" w:eastAsiaTheme="minorEastAsia"/>
          <w:b/>
        </w:rPr>
        <w:t>：Oracle</w:t>
      </w:r>
      <w:r>
        <w:rPr>
          <w:rFonts w:hint="eastAsia" w:asciiTheme="minorEastAsia" w:hAnsiTheme="minorEastAsia" w:eastAsiaTheme="minorEastAsia"/>
          <w:b/>
        </w:rPr>
        <w:t>在线迁移工具支持在线迁移</w:t>
      </w:r>
      <w:r>
        <w:rPr>
          <w:rFonts w:asciiTheme="minorEastAsia" w:hAnsiTheme="minorEastAsia" w:eastAsiaTheme="minorEastAsia"/>
          <w:b/>
        </w:rPr>
        <w:t>ADD/DROP/ALTER 约束</w:t>
      </w:r>
      <w:r>
        <w:rPr>
          <w:rFonts w:hint="eastAsia" w:asciiTheme="minorEastAsia" w:hAnsiTheme="minorEastAsia" w:eastAsiaTheme="minorEastAsia"/>
          <w:b/>
        </w:rPr>
        <w:t>语</w:t>
      </w:r>
      <w:r>
        <w:rPr>
          <w:rFonts w:asciiTheme="minorEastAsia" w:hAnsiTheme="minorEastAsia" w:eastAsiaTheme="minorEastAsia"/>
          <w:b/>
        </w:rPr>
        <w:t>法</w:t>
      </w:r>
    </w:p>
    <w:p>
      <w:pPr>
        <w:pStyle w:val="4"/>
      </w:pPr>
      <w:r>
        <w:rPr>
          <w:rFonts w:hint="eastAsia"/>
        </w:rPr>
        <w:t>需求</w:t>
      </w:r>
      <w:r>
        <w:t>描述</w:t>
      </w:r>
    </w:p>
    <w:p>
      <w:r>
        <w:t>基于openGauss开源项目</w:t>
      </w:r>
      <w:r>
        <w:rPr>
          <w:rFonts w:asciiTheme="minorEastAsia" w:hAnsiTheme="minorEastAsia" w:eastAsiaTheme="minorEastAsia"/>
          <w:b/>
        </w:rPr>
        <w:t>onlineMigration</w:t>
      </w:r>
      <w:r>
        <w:rPr>
          <w:rFonts w:hint="eastAsia" w:asciiTheme="minorEastAsia" w:hAnsiTheme="minorEastAsia" w:eastAsiaTheme="minorEastAsia"/>
          <w:b/>
        </w:rPr>
        <w:t>（</w:t>
      </w:r>
      <w:r>
        <w:rPr>
          <w:rFonts w:asciiTheme="minorEastAsia" w:hAnsiTheme="minorEastAsia" w:eastAsiaTheme="minorEastAsia"/>
          <w:b/>
        </w:rPr>
        <w:t>https://gitee.com/opengauss/openGauss-tools-onlineMigration</w:t>
      </w:r>
      <w:r>
        <w:rPr>
          <w:rFonts w:hint="eastAsia" w:asciiTheme="minorEastAsia" w:hAnsiTheme="minorEastAsia" w:eastAsiaTheme="minorEastAsia"/>
          <w:b/>
        </w:rPr>
        <w:t>）</w:t>
      </w:r>
      <w:r>
        <w:rPr>
          <w:rFonts w:hint="eastAsia"/>
        </w:rPr>
        <w:t>，</w:t>
      </w:r>
      <w:r>
        <w:rPr>
          <w:rFonts w:hint="eastAsia"/>
          <w:b/>
        </w:rPr>
        <w:t>工具的在线迁移过程中需支持D</w:t>
      </w:r>
      <w:r>
        <w:rPr>
          <w:b/>
        </w:rPr>
        <w:t>DL语句</w:t>
      </w:r>
      <w:r>
        <w:rPr>
          <w:rFonts w:hint="eastAsia"/>
          <w:b/>
        </w:rPr>
        <w:t>迁移，即在线迁移阶段，</w:t>
      </w:r>
      <w:r>
        <w:rPr>
          <w:b/>
        </w:rPr>
        <w:t>Oracle</w:t>
      </w:r>
      <w:r>
        <w:rPr>
          <w:rFonts w:hint="eastAsia"/>
          <w:b/>
        </w:rPr>
        <w:t>侧的D</w:t>
      </w:r>
      <w:r>
        <w:rPr>
          <w:b/>
        </w:rPr>
        <w:t>DL语句能够同步到</w:t>
      </w:r>
      <w:r>
        <w:t>openGauss侧并成功执行</w:t>
      </w:r>
      <w:r>
        <w:rPr>
          <w:rFonts w:hint="eastAsia"/>
        </w:rPr>
        <w:t>。需要支持的内容包括：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6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 xml:space="preserve">CREATE 约束 </w:t>
            </w:r>
          </w:p>
        </w:tc>
        <w:tc>
          <w:tcPr>
            <w:tcW w:w="6296" w:type="dxa"/>
          </w:tcPr>
          <w:p>
            <w:r>
              <w:rPr>
                <w:rStyle w:val="14"/>
                <w:sz w:val="19"/>
              </w:rPr>
              <w:t>https://docs.oracle.com/en/database/oracle/oracle-database/19/sqlrf/constraint.html#GUID-1055EA97-BA6F-4764-A15F-1024FD5B6DFE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DROP约束</w:t>
            </w:r>
          </w:p>
        </w:tc>
        <w:tc>
          <w:tcPr>
            <w:tcW w:w="6296" w:type="dxa"/>
          </w:tcPr>
          <w:p>
            <w:r>
              <w:rPr>
                <w:rStyle w:val="14"/>
                <w:sz w:val="19"/>
              </w:rPr>
              <w:t>https://docs.oracle.com/en/database/oracle/oracle-database/19/sqlrf/constraint.html#GUID-1055EA97-BA6F-4764-A15F-1024FD5B6DFE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ALTER约束</w:t>
            </w:r>
          </w:p>
        </w:tc>
        <w:tc>
          <w:tcPr>
            <w:tcW w:w="6296" w:type="dxa"/>
          </w:tcPr>
          <w:p>
            <w:pPr>
              <w:rPr>
                <w:rStyle w:val="14"/>
                <w:sz w:val="19"/>
              </w:rPr>
            </w:pPr>
            <w:r>
              <w:rPr>
                <w:rStyle w:val="14"/>
                <w:sz w:val="19"/>
              </w:rPr>
              <w:t>https://docs.oracle.com/en/database/oracle/oracle-database/19/sqlrf/constraint.html#GUID-1055EA97-BA6F-4764-A15F-1024FD5B6DFE</w:t>
            </w:r>
          </w:p>
        </w:tc>
      </w:tr>
    </w:tbl>
    <w:p>
      <w:pPr>
        <w:pStyle w:val="4"/>
      </w:pPr>
      <w:r>
        <w:rPr>
          <w:rFonts w:hint="eastAsia"/>
        </w:rPr>
        <w:t>开发要求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工具的在线迁移阶段，在</w:t>
      </w:r>
      <w:r>
        <w:t>ORACLE</w:t>
      </w:r>
      <w:r>
        <w:rPr>
          <w:rFonts w:hint="eastAsia"/>
        </w:rPr>
        <w:t>侧执行ADD/DROP/ALTER 约束语法</w:t>
      </w:r>
      <w:r>
        <w:t>能够同步到openGauss侧并成功执行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需要提供ORACLE</w:t>
      </w:r>
      <w:r>
        <w:rPr>
          <w:rFonts w:hint="eastAsia"/>
        </w:rPr>
        <w:t>与op</w:t>
      </w:r>
      <w:r>
        <w:t>enGauss对于以上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、完整的</w:t>
      </w:r>
      <w:r>
        <w:t>测试用例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代码改动需合入openGauss社区，门禁通过。</w:t>
      </w:r>
    </w:p>
    <w:p>
      <w:pPr>
        <w:pStyle w:val="31"/>
        <w:numPr>
          <w:ilvl w:val="0"/>
          <w:numId w:val="3"/>
        </w:numPr>
        <w:ind w:firstLineChars="0"/>
        <w:rPr>
          <w:rStyle w:val="15"/>
          <w:rFonts w:hint="eastAsia" w:ascii="Times New Roman" w:hAnsi="Times New Roman" w:cs="Times New Roman"/>
          <w:sz w:val="21"/>
          <w:szCs w:val="21"/>
        </w:rPr>
      </w:pPr>
      <w:r>
        <w:rPr>
          <w:rStyle w:val="15"/>
          <w:rFonts w:ascii="Times New Roman" w:hAnsi="Times New Roman" w:cs="Times New Roman"/>
          <w:sz w:val="21"/>
          <w:szCs w:val="21"/>
        </w:rPr>
        <w:t>在debezium</w:t>
      </w:r>
      <w:r>
        <w:rPr>
          <w:rStyle w:val="15"/>
          <w:rFonts w:hint="eastAsia" w:ascii="Times New Roman" w:hAnsi="Times New Roman" w:cs="Times New Roman"/>
          <w:sz w:val="21"/>
          <w:szCs w:val="21"/>
        </w:rPr>
        <w:t>(</w:t>
      </w:r>
      <w:r>
        <w:fldChar w:fldCharType="begin"/>
      </w:r>
      <w:r>
        <w:instrText xml:space="preserve"> HYPERLINK "https://github.com/debezium/debezium"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t>https://github.com/debezium/debezium</w:t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fldChar w:fldCharType="end"/>
      </w:r>
      <w:r>
        <w:t>)上开发</w:t>
      </w:r>
      <w:r>
        <w:rPr>
          <w:rFonts w:hint="eastAsia"/>
        </w:rPr>
        <w:t>、</w:t>
      </w:r>
      <w:r>
        <w:t>提交代码</w:t>
      </w:r>
    </w:p>
    <w:p>
      <w:pPr>
        <w:pStyle w:val="4"/>
      </w:pPr>
      <w:r>
        <w:rPr>
          <w:rFonts w:hint="eastAsia"/>
        </w:rPr>
        <w:t>交付成果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软件交付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交付需求中所有的代码改动。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文档交付</w:t>
      </w:r>
    </w:p>
    <w:tbl>
      <w:tblPr>
        <w:tblStyle w:val="10"/>
        <w:tblW w:w="7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  <w:jc w:val="center"/>
        </w:trPr>
        <w:tc>
          <w:tcPr>
            <w:tcW w:w="1272" w:type="dxa"/>
            <w:shd w:val="clear" w:color="auto" w:fill="F3F3F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78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>
            <w:r>
              <w:t>ORACLE</w:t>
            </w:r>
            <w:r>
              <w:rPr>
                <w:rFonts w:hint="eastAsia"/>
              </w:rPr>
              <w:t>与</w:t>
            </w:r>
            <w:r>
              <w:t>openGauss</w:t>
            </w:r>
            <w:r>
              <w:rPr>
                <w:rFonts w:hint="eastAsia"/>
              </w:rPr>
              <w:t>关于2</w:t>
            </w:r>
            <w:r>
              <w:t>.1.1节所列语句的差异点及兼容方式说明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>
            <w: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t>3</w:t>
            </w:r>
          </w:p>
        </w:tc>
        <w:tc>
          <w:tcPr>
            <w:tcW w:w="6078" w:type="dxa"/>
          </w:tcPr>
          <w:p>
            <w:r>
              <w:rPr>
                <w:rFonts w:hint="eastAsia"/>
              </w:rPr>
              <w:t>测试报告</w:t>
            </w:r>
          </w:p>
        </w:tc>
      </w:tr>
    </w:tbl>
    <w:p/>
    <w:p/>
    <w:p>
      <w:pPr>
        <w:pStyle w:val="4"/>
      </w:pPr>
      <w:r>
        <w:rPr>
          <w:rFonts w:hint="eastAsia"/>
        </w:rPr>
        <w:t>其他要求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输出代码不得引用GNU General Public License、GPLv2/v3、AGPL 的库文件或代码。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项目结束后，开发者需要继续三个月的bug维护期，维护期间对bug应做到2天内响应给出方案，1周内解决。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>
      <w:pPr>
        <w:pStyle w:val="3"/>
      </w:pPr>
      <w:r>
        <w:rPr>
          <w:rFonts w:hint="eastAsia"/>
        </w:rPr>
        <w:t>验收要求</w:t>
      </w:r>
    </w:p>
    <w:p>
      <w:pPr>
        <w:pStyle w:val="4"/>
      </w:pPr>
      <w:r>
        <w:rPr>
          <w:rFonts w:hint="eastAsia"/>
        </w:rPr>
        <w:t>验收方式</w:t>
      </w:r>
    </w:p>
    <w:p>
      <w:pPr>
        <w:pStyle w:val="31"/>
        <w:numPr>
          <w:ilvl w:val="0"/>
          <w:numId w:val="4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要求openGauss社区门禁的单元测试用例测试通过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质量标准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24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>
      <w:pPr>
        <w:pStyle w:val="2"/>
      </w:pPr>
      <w:r>
        <w:rPr>
          <w:rFonts w:hint="eastAsia"/>
        </w:rPr>
        <w:t>交付计划</w:t>
      </w:r>
    </w:p>
    <w:p>
      <w:r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701"/>
        <w:gridCol w:w="224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bookmarkStart w:id="0" w:name="_GoBack"/>
            <w:r>
              <w:rPr>
                <w:woUserID w:val="1"/>
              </w:rPr>
              <w:t>T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7F7F7"/>
                <w:woUserID w:val="1"/>
              </w:rPr>
              <w:t>~</w:t>
            </w:r>
            <w:r>
              <w:rPr>
                <w:woUserID w:val="1"/>
              </w:rPr>
              <w:t>T + 3月</w:t>
            </w:r>
            <w:bookmarkEnd w:id="0"/>
          </w:p>
        </w:tc>
        <w:tc>
          <w:tcPr>
            <w:tcW w:w="1418" w:type="dxa"/>
          </w:tcPr>
          <w:p>
            <w:r>
              <w:rPr>
                <w:rFonts w:hint="eastAsia" w:ascii="Arial" w:hAnsi="Arial" w:cs="Arial"/>
                <w:sz w:val="18"/>
              </w:rPr>
              <w:t>第一阶段需求交付</w:t>
            </w:r>
          </w:p>
        </w:tc>
        <w:tc>
          <w:tcPr>
            <w:tcW w:w="1701" w:type="dxa"/>
          </w:tcPr>
          <w:p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hint="eastAsia"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.1.3章节要求交付</w:t>
            </w:r>
          </w:p>
        </w:tc>
        <w:tc>
          <w:tcPr>
            <w:tcW w:w="2246" w:type="dxa"/>
          </w:tcPr>
          <w:p>
            <w:r>
              <w:t>交付</w:t>
            </w:r>
            <w:r>
              <w:rPr>
                <w:rFonts w:asciiTheme="minorEastAsia" w:hAnsiTheme="minorEastAsia" w:eastAsiaTheme="minorEastAsia"/>
                <w:b/>
              </w:rPr>
              <w:t>onlineMigration</w:t>
            </w:r>
            <w:r>
              <w:rPr>
                <w:rFonts w:hint="eastAsia"/>
              </w:rPr>
              <w:t>工具的在线迁移阶段支持迁移</w:t>
            </w:r>
            <w:r>
              <w:t>ORACLE</w:t>
            </w:r>
            <w:r>
              <w:rPr>
                <w:rFonts w:hint="eastAsia"/>
              </w:rPr>
              <w:t>的DDL到openGauss。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交付件完整；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社区测试门禁运行通过，代码满足社区编码规范；</w:t>
            </w:r>
          </w:p>
          <w:p>
            <w:r>
              <w:rPr>
                <w:rFonts w:hint="eastAsia"/>
              </w:rPr>
              <w:t>3、 2</w:t>
            </w:r>
            <w:r>
              <w:t>.1.2章节中各要求达标</w:t>
            </w:r>
            <w:r>
              <w:rPr>
                <w:rFonts w:hint="eastAsia"/>
              </w:rPr>
              <w:t>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otum">
    <w:altName w:val="汉仪书宋二KW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汉仪书宋二KW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1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7"/>
      <w:gridCol w:w="2850"/>
      <w:gridCol w:w="25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2927" w:type="dxa"/>
        </w:tcPr>
        <w:p>
          <w:pPr>
            <w:pStyle w:val="7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2021-11-11</w:t>
          </w:r>
          <w:r>
            <w:fldChar w:fldCharType="end"/>
          </w:r>
        </w:p>
      </w:tc>
      <w:tc>
        <w:tcPr>
          <w:tcW w:w="2850" w:type="dxa"/>
        </w:tcPr>
        <w:p>
          <w:pPr>
            <w:pStyle w:val="7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2537" w:type="dxa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>
          <w:pPr>
            <w:pStyle w:val="8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661" w:type="dxa"/>
          <w:vAlign w:val="bottom"/>
        </w:tcPr>
        <w:p>
          <w:pPr>
            <w:pStyle w:val="8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5A2"/>
    <w:multiLevelType w:val="multilevel"/>
    <w:tmpl w:val="2F4B15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444D78CE"/>
    <w:multiLevelType w:val="multilevel"/>
    <w:tmpl w:val="444D78C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AB4347"/>
    <w:multiLevelType w:val="multilevel"/>
    <w:tmpl w:val="51AB434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62446"/>
    <w:rsid w:val="000A1CA8"/>
    <w:rsid w:val="000A2155"/>
    <w:rsid w:val="000A49E2"/>
    <w:rsid w:val="000B450F"/>
    <w:rsid w:val="000C3507"/>
    <w:rsid w:val="000D6388"/>
    <w:rsid w:val="000F4C04"/>
    <w:rsid w:val="000F7B89"/>
    <w:rsid w:val="001039A2"/>
    <w:rsid w:val="0011472A"/>
    <w:rsid w:val="0013745E"/>
    <w:rsid w:val="00152B8F"/>
    <w:rsid w:val="0015323B"/>
    <w:rsid w:val="00155D6A"/>
    <w:rsid w:val="001608A7"/>
    <w:rsid w:val="0016404A"/>
    <w:rsid w:val="00187B7A"/>
    <w:rsid w:val="00193C4E"/>
    <w:rsid w:val="001A30DA"/>
    <w:rsid w:val="001B27FB"/>
    <w:rsid w:val="001B5ADE"/>
    <w:rsid w:val="001D1D8C"/>
    <w:rsid w:val="001D3BAE"/>
    <w:rsid w:val="001D6AD1"/>
    <w:rsid w:val="001E561E"/>
    <w:rsid w:val="001F0E4E"/>
    <w:rsid w:val="00215951"/>
    <w:rsid w:val="00223F5A"/>
    <w:rsid w:val="00231423"/>
    <w:rsid w:val="00233CC6"/>
    <w:rsid w:val="00240776"/>
    <w:rsid w:val="00254916"/>
    <w:rsid w:val="002646EA"/>
    <w:rsid w:val="002720CC"/>
    <w:rsid w:val="002A6E66"/>
    <w:rsid w:val="002B0B38"/>
    <w:rsid w:val="002B1642"/>
    <w:rsid w:val="002C6B46"/>
    <w:rsid w:val="002F7671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91924"/>
    <w:rsid w:val="00392FFB"/>
    <w:rsid w:val="003C5C45"/>
    <w:rsid w:val="003C5D3E"/>
    <w:rsid w:val="003F2EE5"/>
    <w:rsid w:val="004229A1"/>
    <w:rsid w:val="00425F62"/>
    <w:rsid w:val="004306D8"/>
    <w:rsid w:val="00454146"/>
    <w:rsid w:val="004715A1"/>
    <w:rsid w:val="004973CF"/>
    <w:rsid w:val="004F4C9B"/>
    <w:rsid w:val="0050253A"/>
    <w:rsid w:val="00506515"/>
    <w:rsid w:val="00523FB6"/>
    <w:rsid w:val="0054185C"/>
    <w:rsid w:val="00547D05"/>
    <w:rsid w:val="005755CA"/>
    <w:rsid w:val="005933FF"/>
    <w:rsid w:val="005A2384"/>
    <w:rsid w:val="005B42F2"/>
    <w:rsid w:val="005B76E8"/>
    <w:rsid w:val="005B7B12"/>
    <w:rsid w:val="005C0FE6"/>
    <w:rsid w:val="005C244B"/>
    <w:rsid w:val="005C5E16"/>
    <w:rsid w:val="005D0B98"/>
    <w:rsid w:val="005D3EE6"/>
    <w:rsid w:val="005D5A1A"/>
    <w:rsid w:val="005D7645"/>
    <w:rsid w:val="005E33C2"/>
    <w:rsid w:val="005F3F16"/>
    <w:rsid w:val="005F4C86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85C7E"/>
    <w:rsid w:val="00791C48"/>
    <w:rsid w:val="00792F11"/>
    <w:rsid w:val="007951F4"/>
    <w:rsid w:val="007B69F4"/>
    <w:rsid w:val="007B705D"/>
    <w:rsid w:val="007C4C3D"/>
    <w:rsid w:val="007D240D"/>
    <w:rsid w:val="007E15DD"/>
    <w:rsid w:val="007F63A9"/>
    <w:rsid w:val="0086462D"/>
    <w:rsid w:val="008815FD"/>
    <w:rsid w:val="00883508"/>
    <w:rsid w:val="008A69B9"/>
    <w:rsid w:val="008B2E69"/>
    <w:rsid w:val="008B78A8"/>
    <w:rsid w:val="008C333A"/>
    <w:rsid w:val="008D569E"/>
    <w:rsid w:val="008D57C9"/>
    <w:rsid w:val="008D72BA"/>
    <w:rsid w:val="0090705C"/>
    <w:rsid w:val="009211D4"/>
    <w:rsid w:val="0093331C"/>
    <w:rsid w:val="00934E26"/>
    <w:rsid w:val="00941024"/>
    <w:rsid w:val="00941164"/>
    <w:rsid w:val="0095130A"/>
    <w:rsid w:val="00961333"/>
    <w:rsid w:val="009626D2"/>
    <w:rsid w:val="00977180"/>
    <w:rsid w:val="009773F9"/>
    <w:rsid w:val="009B1AD6"/>
    <w:rsid w:val="009C2FD3"/>
    <w:rsid w:val="009C3A0F"/>
    <w:rsid w:val="009F48D8"/>
    <w:rsid w:val="00A0615B"/>
    <w:rsid w:val="00A13D38"/>
    <w:rsid w:val="00A155E9"/>
    <w:rsid w:val="00A23FDE"/>
    <w:rsid w:val="00A41887"/>
    <w:rsid w:val="00A4631C"/>
    <w:rsid w:val="00A56036"/>
    <w:rsid w:val="00A61B59"/>
    <w:rsid w:val="00A9758E"/>
    <w:rsid w:val="00AA3D6E"/>
    <w:rsid w:val="00AA7C3F"/>
    <w:rsid w:val="00AB5BB2"/>
    <w:rsid w:val="00AB78E4"/>
    <w:rsid w:val="00AC1652"/>
    <w:rsid w:val="00AC5CDB"/>
    <w:rsid w:val="00AE0CF6"/>
    <w:rsid w:val="00B0497F"/>
    <w:rsid w:val="00B12180"/>
    <w:rsid w:val="00B15E02"/>
    <w:rsid w:val="00B33C6F"/>
    <w:rsid w:val="00B55201"/>
    <w:rsid w:val="00B6102F"/>
    <w:rsid w:val="00B62622"/>
    <w:rsid w:val="00B7708E"/>
    <w:rsid w:val="00B8058D"/>
    <w:rsid w:val="00B8316E"/>
    <w:rsid w:val="00B831C4"/>
    <w:rsid w:val="00B97012"/>
    <w:rsid w:val="00BA7F2D"/>
    <w:rsid w:val="00BB31F1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5F71"/>
    <w:rsid w:val="00C50E82"/>
    <w:rsid w:val="00C53AFA"/>
    <w:rsid w:val="00C65870"/>
    <w:rsid w:val="00C75DCC"/>
    <w:rsid w:val="00C82702"/>
    <w:rsid w:val="00CA019E"/>
    <w:rsid w:val="00CC1E1E"/>
    <w:rsid w:val="00CD60CA"/>
    <w:rsid w:val="00CD7054"/>
    <w:rsid w:val="00CD7618"/>
    <w:rsid w:val="00CD7DC6"/>
    <w:rsid w:val="00CF3467"/>
    <w:rsid w:val="00CF4CFF"/>
    <w:rsid w:val="00CF594F"/>
    <w:rsid w:val="00D0183A"/>
    <w:rsid w:val="00D110CF"/>
    <w:rsid w:val="00D1178D"/>
    <w:rsid w:val="00D11B27"/>
    <w:rsid w:val="00D16C4C"/>
    <w:rsid w:val="00D26974"/>
    <w:rsid w:val="00D3766A"/>
    <w:rsid w:val="00D41E35"/>
    <w:rsid w:val="00D60DD9"/>
    <w:rsid w:val="00D66BD5"/>
    <w:rsid w:val="00D6738D"/>
    <w:rsid w:val="00D87114"/>
    <w:rsid w:val="00DA3092"/>
    <w:rsid w:val="00DA4B25"/>
    <w:rsid w:val="00DC2AC0"/>
    <w:rsid w:val="00DC63DF"/>
    <w:rsid w:val="00DD3F68"/>
    <w:rsid w:val="00DE6E3D"/>
    <w:rsid w:val="00E06012"/>
    <w:rsid w:val="00E1210E"/>
    <w:rsid w:val="00E30747"/>
    <w:rsid w:val="00E35629"/>
    <w:rsid w:val="00E45CE5"/>
    <w:rsid w:val="00E612B8"/>
    <w:rsid w:val="00E851EC"/>
    <w:rsid w:val="00EA74C6"/>
    <w:rsid w:val="00EA7D14"/>
    <w:rsid w:val="00EB648F"/>
    <w:rsid w:val="00EC2EDF"/>
    <w:rsid w:val="00EC5048"/>
    <w:rsid w:val="00EE2438"/>
    <w:rsid w:val="00EE4C9D"/>
    <w:rsid w:val="00EE58DB"/>
    <w:rsid w:val="00EF142E"/>
    <w:rsid w:val="00EF3524"/>
    <w:rsid w:val="00F20369"/>
    <w:rsid w:val="00F36004"/>
    <w:rsid w:val="00F37A99"/>
    <w:rsid w:val="00F636EA"/>
    <w:rsid w:val="00F82B0C"/>
    <w:rsid w:val="00F83F5D"/>
    <w:rsid w:val="00FE5AF0"/>
    <w:rsid w:val="00FF77C6"/>
    <w:rsid w:val="DFFB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uiPriority w:val="0"/>
    <w:pPr>
      <w:spacing w:line="400" w:lineRule="exact"/>
      <w:ind w:firstLine="200" w:firstLineChars="200"/>
    </w:pPr>
    <w:rPr>
      <w:rFonts w:ascii="宋体" w:cs="宋体"/>
      <w:snapToGrid/>
      <w:sz w:val="24"/>
    </w:rPr>
  </w:style>
  <w:style w:type="paragraph" w:styleId="6">
    <w:name w:val="Balloon Text"/>
    <w:basedOn w:val="1"/>
    <w:link w:val="3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6">
    <w:name w:val="annotation reference"/>
    <w:basedOn w:val="12"/>
    <w:semiHidden/>
    <w:unhideWhenUsed/>
    <w:uiPriority w:val="0"/>
    <w:rPr>
      <w:sz w:val="21"/>
      <w:szCs w:val="21"/>
    </w:rPr>
  </w:style>
  <w:style w:type="paragraph" w:customStyle="1" w:styleId="17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">
    <w:name w:val="表样式"/>
    <w:basedOn w:val="10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1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uiPriority w:val="0"/>
  </w:style>
  <w:style w:type="paragraph" w:customStyle="1" w:styleId="25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8">
    <w:name w:val="样式一"/>
    <w:basedOn w:val="12"/>
    <w:uiPriority w:val="0"/>
    <w:rPr>
      <w:rFonts w:ascii="宋体" w:hAnsi="宋体"/>
      <w:b/>
      <w:bCs/>
      <w:color w:val="000000"/>
      <w:sz w:val="36"/>
    </w:rPr>
  </w:style>
  <w:style w:type="character" w:customStyle="1" w:styleId="29">
    <w:name w:val="样式二"/>
    <w:basedOn w:val="28"/>
    <w:uiPriority w:val="0"/>
    <w:rPr>
      <w:rFonts w:ascii="宋体" w:hAnsi="宋体"/>
      <w:color w:val="000000"/>
      <w:sz w:val="36"/>
    </w:rPr>
  </w:style>
  <w:style w:type="character" w:customStyle="1" w:styleId="30">
    <w:name w:val="批注框文本 Char"/>
    <w:basedOn w:val="12"/>
    <w:link w:val="6"/>
    <w:uiPriority w:val="0"/>
    <w:rPr>
      <w:snapToGrid w:val="0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Char"/>
    <w:basedOn w:val="12"/>
    <w:link w:val="9"/>
    <w:uiPriority w:val="0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33">
    <w:name w:val="批注文字 Char"/>
    <w:basedOn w:val="12"/>
    <w:link w:val="5"/>
    <w:semiHidden/>
    <w:uiPriority w:val="0"/>
    <w:rPr>
      <w:rFonts w:ascii="宋体" w:cs="宋体"/>
      <w:sz w:val="24"/>
      <w:szCs w:val="21"/>
    </w:rPr>
  </w:style>
  <w:style w:type="paragraph" w:customStyle="1" w:styleId="34">
    <w:name w:val="Normal1"/>
    <w:basedOn w:val="1"/>
    <w:uiPriority w:val="0"/>
    <w:pPr>
      <w:widowControl/>
      <w:overflowPunct w:val="0"/>
      <w:spacing w:line="240" w:lineRule="auto"/>
      <w:ind w:firstLine="200" w:firstLineChars="200"/>
      <w:jc w:val="both"/>
      <w:textAlignment w:val="baseline"/>
    </w:pPr>
    <w:rPr>
      <w:rFonts w:ascii="宋体"/>
      <w:snapToGrid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Huawei Technologies Co.,Ltd.</Company>
  <Pages>3</Pages>
  <Words>265</Words>
  <Characters>1516</Characters>
  <Lines>12</Lines>
  <Paragraphs>3</Paragraphs>
  <TotalTime>0</TotalTime>
  <ScaleCrop>false</ScaleCrop>
  <LinksUpToDate>false</LinksUpToDate>
  <CharactersWithSpaces>1778</CharactersWithSpaces>
  <Application>WWO_wpscloud_20210819110705-818f33d6d3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2021-10-27T11:16:00Z</dcterms:created>
  <dc:creator>Wuweinan (Weinan Wu, Intelligence Computing R&amp;D)</dc:creator>
  <cp:lastModifiedBy>ganyang (A)</cp:lastModifiedBy>
  <dcterms:modified xsi:type="dcterms:W3CDTF">2021-11-11T14:28:17Z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(3)wjItIAr7WycJWw3qhW9BmR3ndiEZsIo+GYqF9E9en8V4hrlXsfK5KhzVJKh+BCwDS9e2mdeT
KnD5BWYeIi3UBK0xaTWablZjFwaaSQ93dariwgWj8TrTSY14ye6Cm55Bc7sU/O95qGJUk8fX
L+tOrq5nwWK21DMoVxcluCY1r1RQ5AgXWmmp1HHLaF4Y8s11Z133WXzMmcfujw3frrAowcy3
YNs8ubjV0xpUytsFrO</vt:lpwstr>
  </property>
  <property fmtid="{D5CDD505-2E9C-101B-9397-08002B2CF9AE}" pid="3" name="_2015_ms_pID_7253431">
    <vt:lpwstr>zfiGeTI288wBVTP02lE4WDaIxGkLlz55vgWBMhHw9INkBtdiNTlUZu
VmK5b42psIrgam4TMru84XHAvTNFv90NkKniJgdqt8Fz5WzVI0iUeSR1U3pUzofbd4wVy3Sp
4drciv0HiPAI2uKI/rYBROK9r+DjIcyHhRoBf1yBgmWy031kvjrjPVnkh6+e2SF9wpfAgjAA
tt8HD3NT2mGE8R1Iu65N6LFB3IOim/xfS8xF</vt:lpwstr>
  </property>
  <property fmtid="{D5CDD505-2E9C-101B-9397-08002B2CF9AE}" pid="4" name="_2015_ms_pID_7253432">
    <vt:lpwstr>FFj3bWuw/+xXjFssBKh3/Kg=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1636544077</vt:lpwstr>
  </property>
  <property fmtid="{D5CDD505-2E9C-101B-9397-08002B2CF9AE}" pid="9" name="KSOProductBuildVer">
    <vt:lpwstr>2052-0.0.0.0</vt:lpwstr>
  </property>
</Properties>
</file>