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t>10. Gastos</w:t>
      </w:r>
    </w:p>
    <w:p>
      <w:pPr>
        <w:pStyle w:val="ListBullet"/>
      </w:pPr>
      <w:r>
        <w:t>11. Compras, Inventario y Cuentas por Pagar</w:t>
      </w:r>
    </w:p>
    <w:p>
      <w:pPr>
        <w:pStyle w:val="ListBullet"/>
      </w:pPr>
      <w:r>
        <w:t>12. Configuracion de Comprobantes Fiscales (administradores)</w:t>
      </w:r>
    </w:p>
    <w:p>
      <w:pPr>
        <w:pStyle w:val="ListBullet"/>
      </w:pPr>
      <w:r>
        <w:t>13. Configuracion adicional (administradores)</w:t>
      </w:r>
    </w:p>
    <w:p>
      <w:pPr>
        <w:pStyle w:val="ListBullet"/>
      </w:pPr>
      <w:r>
        <w:t>14. Reportes</w:t>
      </w:r>
    </w:p>
    <w:p>
      <w:pPr>
        <w:pStyle w:val="ListBullet"/>
      </w:pPr>
      <w:r>
        <w:t>15. Cuentas por Cobrar</w:t>
      </w:r>
    </w:p>
    <w:p>
      <w:pPr>
        <w:pStyle w:val="ListBullet"/>
      </w:pPr>
      <w:r>
        <w:t>16. Gestion de Usuarios (administradores)</w:t>
      </w:r>
    </w:p>
    <w:p>
      <w:pPr>
        <w:pStyle w:val="ListBullet"/>
      </w:pPr>
      <w:r>
        <w:t>17. Cerrar el programa</w:t>
      </w:r>
    </w:p>
    <w:p>
      <w:pPr>
        <w:pStyle w:val="ListBullet"/>
      </w:pPr>
      <w:r>
        <w:t>18. Preguntas frecuentes</w:t>
      </w:r>
    </w:p>
    <w:p>
      <w:pPr>
        <w:pStyle w:val="ListBullet"/>
      </w:pPr>
      <w:r>
        <w:t>19.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11,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11),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11.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12.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13.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1"/>
      </w:pPr>
      <w:r>
        <w:rPr>
          <w:color w:val="1B1F3B"/>
        </w:rPr>
        <w:t>14.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1"/>
      </w:pPr>
      <w:r>
        <w:rPr>
          <w:color w:val="1B1F3B"/>
        </w:rPr>
        <w:t>15.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16.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17.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18.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19.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