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t>10. Configuracion de Comprobantes Fiscales (administradores)</w:t>
      </w:r>
    </w:p>
    <w:p>
      <w:pPr>
        <w:pStyle w:val="ListBullet"/>
      </w:pPr>
      <w:r>
        <w:t>11. Configuracion adicional (administradores)</w:t>
      </w:r>
    </w:p>
    <w:p>
      <w:pPr>
        <w:pStyle w:val="ListBullet"/>
      </w:pPr>
      <w:r>
        <w:t>12. Reportes</w:t>
      </w:r>
    </w:p>
    <w:p>
      <w:pPr>
        <w:pStyle w:val="ListBullet"/>
      </w:pPr>
      <w:r>
        <w:t>13. Consultas</w:t>
      </w:r>
    </w:p>
    <w:p>
      <w:pPr>
        <w:pStyle w:val="ListBullet"/>
      </w:pPr>
      <w:r>
        <w:t>14. Gestion de Usuarios (administradores)</w:t>
      </w:r>
    </w:p>
    <w:p>
      <w:pPr>
        <w:pStyle w:val="ListBullet"/>
      </w:pPr>
      <w:r>
        <w:t>15. Cerrar el programa</w:t>
      </w:r>
    </w:p>
    <w:p>
      <w:pPr>
        <w:pStyle w:val="ListBullet"/>
      </w:pPr>
      <w:r>
        <w:t>16. Preguntas frecuentes</w:t>
      </w:r>
    </w:p>
    <w:p>
      <w:pPr>
        <w:pStyle w:val="ListBullet"/>
      </w:pPr>
      <w:r>
        <w:t>17.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Punto de Venta</w:t>
            </w:r>
          </w:p>
        </w:tc>
        <w:tc>
          <w:tcPr>
            <w:tcW w:type="dxa" w:w="4535"/>
          </w:tcPr>
          <w:p>
            <w:r>
              <w:t>Venta rapida por codigo de barra, con cobro e impresion en un solo paso</w:t>
            </w:r>
          </w:p>
        </w:tc>
        <w:tc>
          <w:tcPr>
            <w:tcW w:type="dxa" w:w="2268"/>
          </w:tcPr>
          <w:p>
            <w:r>
              <w:t>Disponible</w:t>
            </w:r>
          </w:p>
        </w:tc>
      </w:tr>
      <w:tr>
        <w:tc>
          <w:tcPr>
            <w:tcW w:type="dxa" w:w="1984"/>
          </w:tcPr>
          <w:p>
            <w:r>
              <w:t>Consulta → Estado de Cuenta</w:t>
            </w:r>
          </w:p>
        </w:tc>
        <w:tc>
          <w:tcPr>
            <w:tcW w:type="dxa" w:w="4535"/>
          </w:tcPr>
          <w:p>
            <w:r>
              <w:t>Cargos (facturas) y abonos (pagos) de un cliente, con su saldo pendiente</w:t>
            </w:r>
          </w:p>
        </w:tc>
        <w:tc>
          <w:tcPr>
            <w:tcW w:type="dxa" w:w="2268"/>
          </w:tcPr>
          <w:p>
            <w:r>
              <w:t>Disponible</w:t>
            </w:r>
          </w:p>
        </w:tc>
      </w:tr>
      <w:tr>
        <w:tc>
          <w:tcPr>
            <w:tcW w:type="dxa" w:w="1984"/>
          </w:tcPr>
          <w:p>
            <w:r>
              <w:t>Consulta → Alfabetico de Clientes</w:t>
            </w:r>
          </w:p>
        </w:tc>
        <w:tc>
          <w:tcPr>
            <w:tcW w:type="dxa" w:w="4535"/>
          </w:tcPr>
          <w:p>
            <w:r>
              <w:t>Listado de todos los clientes ordenado por nombre, con busqueda y exportar</w:t>
            </w:r>
          </w:p>
        </w:tc>
        <w:tc>
          <w:tcPr>
            <w:tcW w:type="dxa" w:w="2268"/>
          </w:tcPr>
          <w:p>
            <w:r>
              <w:t>Disponible</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Consultas → Estado de Cuenta) sale con un diseño formal: encabezado con el logo y los datos de la empresa (ver seccion 11),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(Consulta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Punto de Venta en el menu principal.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rPr>
          <w:color w:val="1B1F3B"/>
        </w:rPr>
        <w:t>10.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11.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1"/>
      </w:pPr>
      <w:r>
        <w:rPr>
          <w:color w:val="1B1F3B"/>
        </w:rPr>
        <w:t>12.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1"/>
      </w:pPr>
      <w:r>
        <w:rPr>
          <w:color w:val="1B1F3B"/>
        </w:rPr>
        <w:t>13. Consultas</w:t>
      </w:r>
    </w:p>
    <w:p>
      <w:pPr>
        <w:pStyle w:val="Heading2"/>
      </w:pPr>
      <w:r>
        <w:rPr>
          <w:color w:val="1B1F3B"/>
        </w:rPr>
        <w:t>Estado de Cuenta</w:t>
      </w:r>
    </w:p>
    <w:p>
      <w:r>
        <w:rPr>
          <w:b w:val="0"/>
          <w:i w:val="0"/>
        </w:rPr>
        <w:t>Ve a Consulta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Consulta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14.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15.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16.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17.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