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11/09/2026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Configuracion de Comprobantes Fiscales (administradores)</w:t>
      </w:r>
    </w:p>
    <w:p>
      <w:pPr>
        <w:pStyle w:val="ListBullet"/>
      </w:pPr>
      <w:r>
        <w:t>10. Reportes</w:t>
      </w:r>
    </w:p>
    <w:p>
      <w:pPr>
        <w:pStyle w:val="ListBullet"/>
      </w:pPr>
      <w:r>
        <w:t>11. Gestion de Usuarios (administradores)</w:t>
      </w:r>
    </w:p>
    <w:p>
      <w:pPr>
        <w:pStyle w:val="ListBullet"/>
      </w:pPr>
      <w:r>
        <w:t>12. Cerrar el programa</w:t>
      </w:r>
    </w:p>
    <w:p>
      <w:pPr>
        <w:pStyle w:val="ListBullet"/>
      </w:pPr>
      <w:r>
        <w:t>13. Preguntas frecuentes</w:t>
      </w:r>
    </w:p>
    <w:p>
      <w:pPr>
        <w:pStyle w:val="ListBullet"/>
      </w:pPr>
      <w:r>
        <w:t>14. Que hacer si algo falla</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clientes y facturas</w:t>
            </w:r>
          </w:p>
        </w:tc>
        <w:tc>
          <w:tcPr>
            <w:tcW w:type="dxa" w:w="2268"/>
          </w:tcPr>
          <w:p>
            <w:r>
              <w:t>Disponible</w:t>
            </w:r>
          </w:p>
        </w:tc>
      </w:tr>
      <w:tr>
        <w:tc>
          <w:tcPr>
            <w:tcW w:type="dxa" w:w="1984"/>
          </w:tcPr>
          <w:p>
            <w:r>
              <w:t>Consulta</w:t>
            </w:r>
          </w:p>
        </w:tc>
        <w:tc>
          <w:tcPr>
            <w:tcW w:type="dxa" w:w="4535"/>
          </w:tcPr>
          <w:p>
            <w:r>
              <w:t>Estado de cuenta y listado alfabetico de clientes</w:t>
            </w:r>
          </w:p>
        </w:tc>
        <w:tc>
          <w:tcPr>
            <w:tcW w:type="dxa" w:w="2268"/>
          </w:tcPr>
          <w:p>
            <w:r>
              <w:t>Reservado para una version futura</w:t>
            </w:r>
          </w:p>
        </w:tc>
      </w:tr>
      <w:tr>
        <w:tc>
          <w:tcPr>
            <w:tcW w:type="dxa" w:w="1984"/>
          </w:tcPr>
          <w:p>
            <w:r>
              <w:t>Reporte → Factura</w:t>
            </w:r>
          </w:p>
        </w:tc>
        <w:tc>
          <w:tcPr>
            <w:tcW w:type="dxa" w:w="4535"/>
          </w:tcPr>
          <w:p>
            <w:r>
              <w:t>Listado de facturas con filtros, y anular una factura</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Registro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Registro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Presiona Guardar para completar la factura. El inventario del producto se descuenta automaticamente y el comprobante fiscal usado queda registrado.</w:t>
      </w:r>
    </w:p>
    <w:p>
      <w:pPr>
        <w:pStyle w:val="ListNumber"/>
      </w:pPr>
      <w:r>
        <w:t>Para volver a abrir una factura ya hecha, usa el boton de lupa junto a “Numero Factura”.</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pStyle w:val="Heading1"/>
      </w:pPr>
      <w:r>
        <w:rPr>
          <w:color w:val="1B1F3B"/>
        </w:rPr>
        <w:t>9. Configuracion de Comprobantes Fiscales (solo administradores)</w:t>
      </w:r>
    </w:p>
    <w:p>
      <w:r>
        <w:rPr>
          <w:b w:val="0"/>
          <w:i w:val="0"/>
        </w:rPr>
        <w:t>Ve a Configuracion → Comprobantes Fiscales para administrar los tipos de NCF (arranca con los 8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B03 Nota de Debito o B04 Nota de Credito),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10. Reportes</w:t>
      </w:r>
    </w:p>
    <w:p>
      <w:pPr>
        <w:pStyle w:val="Heading2"/>
      </w:pPr>
      <w:r>
        <w:rPr>
          <w:color w:val="1B1F3B"/>
        </w:rPr>
        <w:t>Reporte de Factura</w:t>
      </w:r>
    </w:p>
    <w:p>
      <w:r>
        <w:rPr>
          <w:b w:val="0"/>
          <w:i w:val="0"/>
        </w:rPr>
        <w:t>Ve a Reporte →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pPr>
        <w:pStyle w:val="Heading1"/>
      </w:pPr>
      <w:r>
        <w:rPr>
          <w:color w:val="1B1F3B"/>
        </w:rPr>
        <w:t>11.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12.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Heading1"/>
      </w:pPr>
      <w:r>
        <w:rPr>
          <w:color w:val="1B1F3B"/>
        </w:rPr>
        <w:t>13.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1"/>
      </w:pPr>
      <w:r>
        <w:rPr>
          <w:color w:val="1B1F3B"/>
        </w:rPr>
        <w:t>14.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