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w:t>
            </w:r>
          </w:p>
        </w:tc>
        <w:tc>
          <w:tcPr>
            <w:tcW w:type="dxa" w:w="3118"/>
          </w:tcPr>
          <w:p>
            <w:r>
              <w:t>FK a CLIENTES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Cobrar (F2) guarda la factura, genera el PDF y lo manda a imprimir en un solo paso. Cliente por defecto “Consumidor Final” (Cambiar = F4, reutiliza frmVENCTE) y Tipo de Comprobante preseleccionado en el primero cuyo nombre contenga “Consumo”. No duplica logica de negocio: llama a los mismos ComprobanteFiscal/FacturaService que usa frmFactura (ver 6.1 Reuso de FacturaService)</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y frmReporteInventario.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ind w:left="283"/>
      </w:pPr>
      <w:r>
        <w:rPr>
          <w:i/>
          <w:color w:val="555555"/>
        </w:rPr>
        <w:t>Nota: En frmMenu estan conectados a un formulario los items Registro -&gt; Productos, Cliente, Usuario y Factura, Punto de Venta (item de primer nivel, junto a Registro), Configuracion -&gt; Comprobantes Fiscales, Reporte -&gt; Factura e Inventario, ademas de Salir y Cerrar Sesion. Los menus Consulta, los items Opciones del Menu / Permiso a Usuario dentro de Configuracion, y Puesto de Trabajo / Departamento dentro de Registro, existen visualmente pero no tienen manejador de clic (_Click) implementado todavia.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El menu Consulta (Estado de Cuenta, Alfabetico de Clientes) y 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