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 </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OF/SP/11/11/11</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12 DE MARZO DE 2023</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OF/P/EJ/11/11/11</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start"/>
      </w:pPr>
      <w:r>
        <w:rPr>
          <w:rFonts w:ascii="Montserrat" w:hAnsi="Montserrat" w:eastAsia="Montserrat" w:cs="Montserrat"/>
          <w:sz w:val="17.85"/>
          <w:szCs w:val="17.85"/>
        </w:rPr>
        <w:t xml:space="preserve">II. “EL PROVEEDOR”, por conducto de su representante declara que:</w:t>
      </w:r>
    </w:p>
    <w:p>
      <w:pPr/>
      <w:r>
        <w:rPr/>
        <w:t xml:space="preserve">II.1 ES UNA PERSONA MORAL LEGALMENTE CONSTITUIDA DE CONFORMIDAD CON LA LEGISLACIÓN MEXICANA, SEGÚN CONSTA EN EL TESTIMONIO QUE CONTIENE , CON EL FOLIO , DE FECHA , PASADA ANTE LA FE DEL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SARTASDGA2665</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rPr>
        <w:t xml:space="preserve">“LA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$2048.32,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p>
        </w:tc>
        <w:tc>
          <w:tcPr>
            <w:noWrap/>
          </w:tcPr>
          <w:p>
            <w:pPr/>
            <w:r>
              <w:rPr/>
              <w:t xml:space="preserve">Ingresa Monto sin Impuesto</w:t>
            </w:r>
          </w:p>
        </w:tc>
        <w:tc>
          <w:tcPr>
            <w:noWrap/>
          </w:tcPr>
          <w:p>
            <w:pPr/>
            <w:r>
              <w:rPr/>
              <w:t xml:space="preserve">Ingresa Monto con Impuesto</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noWrap/>
          </w:tcPr>
          <w:p>
            <w:pPr/>
            <w:r>
              <w:rPr/>
              <w:t xml:space="preserve">21701</w:t>
            </w:r>
          </w:p>
        </w:tc>
        <w:tc>
          <w:tcPr>
            <w:noWrap/>
          </w:tcPr>
          <w:p>
            <w:pPr/>
            <w:r>
              <w:rPr/>
              <w:t xml:space="preserve">21700016</w:t>
            </w:r>
          </w:p>
        </w:tc>
        <w:tc>
          <w:tcPr>
            <w:noWrap/>
          </w:tcPr>
          <w:p>
            <w:pPr/>
            <w:r>
              <w:rPr/>
              <w:t xml:space="preserve">Cuerpo geométrico</w:t>
            </w:r>
          </w:p>
        </w:tc>
        <w:tc>
          <w:tcPr>
            <w:noWrap/>
          </w:tcPr>
          <w:p>
            <w:pPr/>
            <w:r>
              <w:rPr/>
              <w:t xml:space="preserve">3.00</w:t>
            </w:r>
          </w:p>
        </w:tc>
        <w:tc>
          <w:tcPr>
            <w:noWrap/>
          </w:tcPr>
          <w:p>
            <w:pPr/>
            <w:r>
              <w:rPr/>
              <w:t xml:space="preserve">Kilogramo</w:t>
            </w:r>
          </w:p>
        </w:tc>
        <w:tc>
          <w:tcPr>
            <w:noWrap/>
          </w:tcPr>
          <w:p>
            <w:pPr/>
            <w:r>
              <w:rPr/>
              <w:t xml:space="preserve">$234.00</w:t>
            </w:r>
          </w:p>
        </w:tc>
        <w:tc>
          <w:tcPr>
            <w:noWrap/>
          </w:tcPr>
          <w:p>
            <w:pPr/>
            <w:r>
              <w:rPr/>
              <w:t xml:space="preserve">$702.00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SERVICIO, POR LO QUE “EL PROVEEDOR” NO PODRÁ AGREGAR NINGÚN COSTO EXTRA Y LOS PRECIOS SERÁN INALTERABLES DURANTE LA VIGENCIA DEL PRESENTE CONTRATO.</w:t>
      </w:r>
    </w:p>
    <w:p>
      <w:pPr>
        <w:jc w:val="both"/>
      </w:pPr>
      <w:r>
        <w:rPr>
          <w:rFonts w:ascii="Montserrat" w:hAnsi="Montserrat" w:eastAsia="Montserrat" w:cs="Montserrat"/>
          <w:sz w:val="17.85"/>
          <w:szCs w:val="17.85"/>
        </w:rPr>
        <w:t xml:space="preserve">“LA DEPENDENCIA” PAGARÁ A “EL PROVEEDOR” COMO CONTRAPRESTACIÓN POR LOS SERVICIOS OBJETO DE ESTECONTRATO, LA CANTIDAD DE </w:t>
      </w:r>
      <w:r>
        <w:rPr>
          <w:rFonts w:ascii="Montserrat" w:hAnsi="Montserrat" w:eastAsia="Montserrat" w:cs="Montserrat"/>
          <w:sz w:val="17.85"/>
          <w:szCs w:val="17.85"/>
          <w:b w:val="1"/>
          <w:bCs w:val="1"/>
        </w:rPr>
        <w:t xml:space="preserve">$ 2048.32, IVA INCLUIDO</w:t>
      </w:r>
      <w:r>
        <w:rPr>
          <w:rFonts w:ascii="Montserrat" w:hAnsi="Montserrat" w:eastAsia="Montserrat" w:cs="Montserrat"/>
          <w:sz w:val="17.85"/>
          <w:szCs w:val="17.85"/>
        </w:rPr>
        <w:t xml:space="preserve">, MENOS LAS RETENCIONES QUE CONFORME A LA LEY PROCEDAN.</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SERVICIOS EFECTIVAMENTE PRESTADOS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SERVICIOS PRESTADOS, LOS PRECIOS UNITARIOS, SE VERIFIQUE SU AUTENTICIDAD, NO EXISTAN ACLARACIONES AL IMPORTE Y VAYA ACOMPAÑADA CON LA DOCUMENTACIÓN SOPORTEDE LA PRESTACIÓN DE LOS SERVICIOS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LA PRESTACIÓN DE LOS SERVICIOS,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LA PRESTACIÓN DE LOS SERVICIOS RECIBIDOS,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DE LA PRESTACIÓN DE LOS SERVICIOS.</w:t>
      </w:r>
    </w:p>
    <w:p>
      <w:pPr>
        <w:jc w:val="both"/>
      </w:pPr>
      <w:r>
        <w:rPr>
          <w:rFonts w:ascii="Montserrat" w:hAnsi="Montserrat" w:eastAsia="Montserrat" w:cs="Montserrat"/>
          <w:sz w:val="17.85"/>
          <w:szCs w:val="17.85"/>
        </w:rPr>
        <w:t xml:space="preserve">A PRESTACIÓN DE LOS SERVICIOS, SE REALIZARÁ CONFORME A LOS PLAZOS, CONDICIONES Y ENTREGABLES ESTABLECIDOS POR “LA ENTIDAD”.</w:t>
      </w:r>
    </w:p>
    <w:p>
      <w:pPr>
        <w:jc w:val="both"/>
      </w:pPr>
      <w:r>
        <w:rPr>
          <w:rFonts w:ascii="Montserrat" w:hAnsi="Montserrat" w:eastAsia="Montserrat" w:cs="Montserrat"/>
          <w:sz w:val="17.85"/>
          <w:szCs w:val="17.85"/>
        </w:rPr>
        <w:t xml:space="preserve">LOS SERVICIOS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 DE ENERO DE 2013 AL 14 DE ENERO DE 2024.</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DEL SERVICIO,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SERVICIOS</w:t>
      </w:r>
    </w:p>
    <w:p>
      <w:pPr>
        <w:jc w:val="both"/>
      </w:pPr>
      <w:r>
        <w:rPr>
          <w:rFonts w:ascii="Montserrat" w:hAnsi="Montserrat" w:eastAsia="Montserrat" w:cs="Montserrat"/>
          <w:sz w:val="17.85"/>
          <w:szCs w:val="17.85"/>
        </w:rPr>
        <w:t xml:space="preserve">PARA LA PRESTACIÓN DE LOS SERVICIOS MATERIA DEL PRESENTE CONTRATO, REQUIERE QUE “EL PROVEEDOR” PRESENTE UNA CARTA GARANTÍA POR LA CALIDAD DE LOS SERVICIOS CONTRATADOS.</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SERVICIOSPRESTADOS,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SERVICIOS PRESTADOS,SIEMPRE Y CUANDO “LA DEPENDENCIA O ENTIDAD” NO HAYA IDENTIFICADO DEFECTOS O VICIOS OCULTOS EN LA CALIDADDE LOS SERVICIOS PRESTADOS,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PRESTAR LOS SERVICIOS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PRESTACIÓN DE LOS SERVICIOS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pStyle w:val="Heading6"/>
      </w:pPr>
      <w:r>
        <w:rPr/>
        <w:t xml:space="preserve">DÉCIMA SEGUNDA. ADMINISTRACIÓN, VERIFICACIÓN, SUPERVISIÓN Y ACEPTACIÓN DE LOS SERVICIOS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SERVICIOS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SERVICIOS,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SERVICIOS QUEINCUMPLAN DE MANERA PARCIAL O DEFICIENTE LAS ESPECIFICACIONES ESTABLECIDAS EN ESTE CONTRATO Y EN LOSANEXOS RESPECTIVOS, SIN PERJUICIO DE LA APLICACIÓN DE LAS DEDUCCIONES AL PAGO QUE PROCEDAN, Y REPOSICIÓNDEL SERVICIO,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SERVICIOS,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SERVICIOS,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SERVICIOS NO PRESTADOS,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SERVICIOS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SERVICIOS,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SERVICIOS PRESTADOS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PRESTACIÓN DEL SERVICIO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E INSUMOS NECESARIOS PARA LAPRESTACIÓN DEL SERVICIO,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PRESTACIÓN DE LOS SERVICIOS,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PRESTACIÓN DE LOS SERVICIOS.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PRESTACIÓN DE LOSSERVICIOS,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SERVICIOS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SERVICIOS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SERVICIOS PRESTADOS,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PRESTACIÓN DE LOS SERVICIOS,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PRESTACIÓN DE LOS SERVICIOS DELPRESENTE CONTRATO.</w:t>
      </w:r>
    </w:p>
    <w:p>
      <w:pPr>
        <w:numPr>
          <w:ilvl w:val="0"/>
          <w:numId w:val="3"/>
        </w:numPr>
      </w:pPr>
      <w:r>
        <w:rPr>
          <w:rFonts w:ascii="Montserrat" w:hAnsi="Montserrat" w:eastAsia="Montserrat" w:cs="Montserrat"/>
          <w:sz w:val="17.85"/>
          <w:szCs w:val="17.85"/>
        </w:rPr>
        <w:t xml:space="preserve">NO REALIZAR LA PRESTACIÓN DE LOS SERVICIOS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LOSSERVICIOS,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SERVICIOS,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PRESTACIÓN DEL SERVICIO,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SERVICIOS.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PRESTACIÓN DE LOS SERVICIOS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p>
        </w:tc>
        <w:tc>
          <w:tcPr>
            <w:noWrap/>
          </w:tcPr>
          <w:p>
            <w:pPr/>
            <w:r>
              <w:rPr/>
              <w:t xml:space="preserve">SARTASDGA2665</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start"/>
    </w:pPr>
    <w:r>
      <w:rPr>
        <w:rFonts w:ascii="Montserrat" w:hAnsi="Montserrat" w:eastAsia="Montserrat" w:cs="Montserrat"/>
        <w:sz w:val="14.700000000000001"/>
        <w:szCs w:val="14.700000000000001"/>
      </w:rPr>
      <w:t xml:space="preserve">            CONTRATO                            CERRADO             No. EJEMPLO/09/01/24 PARA LA            PRESTACION DEL SERVICIO DE TRASLADO, PARA PERSONAL DERECHOHABIENTE, JUBILADOS Y PENSIONADOS DEL CENTRO CULTURAL DEL ISSSTE EN OAXACA.            PROVEEDOR:             VIGENCIA: 1 DE ENERO DE 2013 AL 14 DE ENERO DE 2024.        </w:t>
    </w:r>
  </w:p>
  <w:p>
    <w:pPr>
      <w:jc w:val="left"/>
    </w:pPr>
    <w:r>
      <w:pict>
        <v:shape type="#_x0000_t75" stroked="f" style="width:10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FA2598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70D0AEE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1E0550E1"/>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2024-01-09T17:15:00+00:00</dcterms:created>
  <dcterms:modified xsi:type="dcterms:W3CDTF">2024-01-09T17:15:00+00:00</dcterms:modified>
</cp:coreProperties>
</file>

<file path=docProps/custom.xml><?xml version="1.0" encoding="utf-8"?>
<Properties xmlns="http://schemas.openxmlformats.org/officeDocument/2006/custom-properties" xmlns:vt="http://schemas.openxmlformats.org/officeDocument/2006/docPropsVTypes"/>
</file>