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 VIGENCIA: 123.        </w:t>
      </w:r>
    </w:p>
    <w:p>
      <w:pPr/>
      <w:r>
        <w:rPr/>
        <w:t xml:space="preserve">    </w:t>
      </w:r>
    </w:p>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        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w:t>
      </w:r>
      <w:r>
        <w:rPr>
          <w:rFonts w:ascii="Montserrat" w:hAnsi="Montserrat" w:eastAsia="Montserrat" w:cs="Montserrat"/>
          <w:sz w:val="17.85"/>
          <w:szCs w:val="17.85"/>
          <w:b w:val="1"/>
          <w:bCs w:val="1"/>
        </w:rPr>
        <w:t xml:space="preserve">            1</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    </w:t>
      </w:r>
    </w:p>
    <w:p>
      <w:pPr/>
      <w:r>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DECLARACIONES</w:t>
      </w:r>
      <w:r>
        <w:rPr>
          <w:rFonts w:ascii="Montserrat" w:hAnsi="Montserrat" w:eastAsia="Montserrat" w:cs="Montserrat"/>
          <w:sz w:val="17.85"/>
          <w:szCs w:val="17.85"/>
        </w:rPr>
        <w:t xml:space="preserve">    </w:t>
      </w:r>
    </w:p>
    <w:p>
      <w:pPr/>
      <w:r>
        <w:rPr/>
        <w:t xml:space="preserve">    </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    </w:t>
      </w:r>
    </w:p>
    <w:p>
      <w:pPr/>
      <w:r>
        <w:rPr/>
        <w:t xml:space="preserve">    </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r>
        <w:rPr/>
        <w:t xml:space="preserve">    </w:t>
      </w:r>
    </w:p>
    <w:p>
      <w:pPr>
        <w:jc w:val="both"/>
      </w:pPr>
      <w:r>
        <w:rPr>
          <w:rFonts w:ascii="Montserrat" w:hAnsi="Montserrat" w:eastAsia="Montserrat" w:cs="Montserrat"/>
          <w:sz w:val="17.85"/>
          <w:szCs w:val="17.85"/>
        </w:rPr>
        <w:t xml:space="preserve">        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        PARA SUSCRIBIR EL PRESENTE INSTRUMENTO LEGAL EN REPRESENTACIÓN DEL INSTITUTO DE SEGURIDAD Y SERVICIOS SOCIALES        DE LOS TRABAJADORES DEL ESTADO, DE CONFORMIDAD CON LO ESTABLECIDO EN LA ESCRITURA PÚBLICA NÚMERO        46,460, LIBRO 1,265 DE FECHA DIECIOCHO DE JULIO DEL AÑO DOS MIL VEINTIDÓS, PASADA ANTE LA FE DEL        LICENCIADO ALBERTO T. SÁNCHEZ COLÍN, NOTARIO PÚBLICO NÚMERO 83 DE LA CIUDAD DE MÉXICO, QUIEN PODRÁ        SER SUSTITUIDO EN CUALQUIER MOMENTO EN SU CARGO O FUNCIONES, SIN QUE ELLO IMPLIQUE LA NECESIDAD DE        ELABORAR CONVENIO MODIFICATORIO.    </w:t>
      </w:r>
    </w:p>
    <w:p>
      <w:pPr/>
      <w:r>
        <w:rPr/>
        <w:t xml:space="preserve">    </w:t>
      </w:r>
    </w:p>
    <w:p>
      <w:pPr>
        <w:jc w:val="both"/>
      </w:pPr>
      <w:r>
        <w:rPr>
          <w:rFonts w:ascii="Montserrat" w:hAnsi="Montserrat" w:eastAsia="Montserrat" w:cs="Montserrat"/>
          <w:sz w:val="17.85"/>
          <w:szCs w:val="17.85"/>
        </w:rPr>
        <w:t xml:space="preserve">        I.3. DE CONFORMIDAD CON EL ARTÍCULO 26, APARTADO B, FRACCIÓN I Y X, DEL REGLAMENTO        ÓRGANICO DE LAS DELEGACIONES ESTATALES Y REGIONALES DEL INSTITUTO DE SEGURIDAD Y SERVICIOS SOCIALES        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rPr>
        <w:t xml:space="preserve">, FACULTADO PARA        ADMINISTRAR EL CUMPLIMIENTO DE        LAS OBLIGACIONES QUE DERIVEN DEL OBJETO DEL PRESENTE CONTRATO, QUIEN PODRÁ SER SUSTITUIDO EN        CUALQUIER MOMENTO, BASTANDO PARA TALES EFECTOS UN COMUNICADO POR ESCRITO Y FIRMADO POR EL        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    </w:t>
      </w:r>
    </w:p>
    <w:p>
      <w:pPr/>
      <w:r>
        <w:rPr/>
        <w:t xml:space="preserve">    </w:t>
      </w:r>
    </w:p>
    <w:p>
      <w:pPr>
        <w:jc w:val="both"/>
      </w:pPr>
      <w:r>
        <w:rPr>
          <w:rFonts w:ascii="Montserrat" w:hAnsi="Montserrat" w:eastAsia="Montserrat" w:cs="Montserrat"/>
          <w:sz w:val="17.85"/>
          <w:szCs w:val="17.85"/>
        </w:rPr>
        <w:t xml:space="preserve">        I.4. DE CONFORMIDAD CON LOS ARTÍCULOS 34 Y 37 FRACCIONES I Y XIII DEL REGLAMENTO ÓRGANICO        DE LAS DELEGACIONES ESTATALES Y REGIONALES DEL INSTITUTO DE SEGURIDAD Y SERVICIOS SOCIALES        DE LOS TRABAJADORES DEL ESTADO, SUSCRIBE EL PRESENTE INSTRUMENTO LEGAL,        </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 REGISTRO FEDERAL DE CONTRIBUYENTES </w:t>
      </w:r>
      <w:r>
        <w:rPr>
          <w:rFonts w:ascii="Montserrat" w:hAnsi="Montserrat" w:eastAsia="Montserrat" w:cs="Montserrat"/>
          <w:sz w:val="17.85"/>
          <w:szCs w:val="17.85"/>
        </w:rPr>
        <w:t xml:space="preserve">        FACULTADA PARA REALIZAR LA CONTRATACIÓN DE LOS SERVICIOS GENERALES Y SUPERVISIÓN DE LOS SERVICIOS REQUERIDOS        POR LAS ÁREAS ADMINISTRATIVAS Y LOS CENTROS DE TRABAJO DELEGACIONALES, CON CARGO A        LAS PARTIDAS PRESUPUESTALES QUE SEAN ADMINISTRADAS EN FORMA DESCONCENTRADA POR LA        DELEGACIÓN, DE CONFORMIDAD CON LOS PROCEDIMIENTOS AUTORIZADOS Y EN APEGO A LA        NORMATIVIDAD APLICABLE, QUIEN PODRA SER SUSTITUIDA EN CUALQUIER MOMENTO, BASTANDO        PARA TALES EFECTOS UN COMUNICADO POR ESCRITO, FIRMADO POR EL SERVIDOR PUBLICO        FACULTADO PARA ELLO, INFORMANDO A “EL PROVEDOR” PARA LOS EFECTOS DEL PRESENTE        CONTRATO.    </w:t>
      </w:r>
    </w:p>
    <w:p>
      <w:pPr/>
      <w:r>
        <w:rPr/>
        <w:t xml:space="preserve">    </w:t>
      </w:r>
    </w:p>
    <w:p>
      <w:pPr>
        <w:jc w:val="both"/>
      </w:pPr>
      <w:r>
        <w:rPr>
          <w:rFonts w:ascii="Montserrat" w:hAnsi="Montserrat" w:eastAsia="Montserrat" w:cs="Montserrat"/>
          <w:sz w:val="17.85"/>
          <w:szCs w:val="17.85"/>
        </w:rPr>
        <w:t xml:space="preserve">        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        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r>
        <w:rPr>
          <w:rFonts w:ascii="Montserrat" w:hAnsi="Montserrat" w:eastAsia="Montserrat" w:cs="Montserrat"/>
          <w:sz w:val="17.85"/>
          <w:szCs w:val="17.85"/>
        </w:rPr>
        <w:t xml:space="preserve">    </w:t>
      </w:r>
    </w:p>
    <w:p>
      <w:pPr/>
      <w:r>
        <w:rPr/>
        <w:t xml:space="preserve">    </w:t>
      </w:r>
    </w:p>
    <w:p>
      <w:pPr>
        <w:jc w:val="both"/>
      </w:pPr>
      <w:r>
        <w:rPr>
          <w:rFonts w:ascii="Montserrat" w:hAnsi="Montserrat" w:eastAsia="Montserrat" w:cs="Montserrat"/>
          <w:sz w:val="17.85"/>
          <w:szCs w:val="17.85"/>
        </w:rPr>
        <w:t xml:space="preserve">        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4</w:t>
      </w:r>
      <w:r>
        <w:rPr>
          <w:rFonts w:ascii="Montserrat" w:hAnsi="Montserrat" w:eastAsia="Montserrat" w:cs="Montserrat"/>
          <w:sz w:val="17.85"/>
          <w:szCs w:val="17.85"/>
        </w:rPr>
        <w:t xml:space="preserve">, EMITIDO POR LA        </w:t>
      </w:r>
      <w:r>
        <w:rPr>
          <w:rFonts w:ascii="Montserrat" w:hAnsi="Montserrat" w:eastAsia="Montserrat" w:cs="Montserrat"/>
          <w:sz w:val="17.85"/>
          <w:szCs w:val="17.85"/>
          <w:b w:val="1"/>
          <w:bCs w:val="1"/>
        </w:rPr>
        <w:t xml:space="preserve">LEC. TANIA RUT ZARATE            HERNANDEZ, JEFA DEL DEPARTAMENTO DE FINANZAS.</w:t>
      </w:r>
      <w:r>
        <w:rPr>
          <w:rFonts w:ascii="Montserrat" w:hAnsi="Montserrat" w:eastAsia="Montserrat" w:cs="Montserrat"/>
          <w:sz w:val="17.85"/>
          <w:szCs w:val="17.85"/>
        </w:rPr>
        <w:t xml:space="preserve">    </w:t>
      </w:r>
    </w:p>
    <w:p>
      <w:pPr/>
      <w:r>
        <w:rPr/>
        <w:t xml:space="preserve">            </w:t>
      </w:r>
    </w:p>
    <w:p>
      <w:pPr>
        <w:jc w:val="both"/>
      </w:pPr>
      <w:r>
        <w:rPr>
          <w:rFonts w:ascii="Montserrat" w:hAnsi="Montserrat" w:eastAsia="Montserrat" w:cs="Montserrat"/>
          <w:sz w:val="17.85"/>
          <w:szCs w:val="17.85"/>
        </w:rPr>
        <w:t xml:space="preserve">            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w:t>
      </w:r>
      <w:r>
        <w:rPr>
          <w:rFonts w:ascii="Montserrat" w:hAnsi="Montserrat" w:eastAsia="Montserrat" w:cs="Montserrat"/>
          <w:sz w:val="17.85"/>
          <w:szCs w:val="17.85"/>
        </w:rPr>
        <w:t xml:space="preserve">.        </w:t>
      </w:r>
    </w:p>
    <w:p>
      <w:pPr/>
      <w:r>
        <w:rPr/>
        <w:t xml:space="preserve">                    </w:t>
      </w:r>
    </w:p>
    <w:p>
      <w:pPr>
        <w:jc w:val="both"/>
      </w:pPr>
      <w:r>
        <w:rPr>
          <w:rFonts w:ascii="Montserrat" w:hAnsi="Montserrat" w:eastAsia="Montserrat" w:cs="Montserrat"/>
          <w:sz w:val="17.85"/>
          <w:szCs w:val="17.85"/>
        </w:rPr>
        <w:t xml:space="preserve">                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            </w:t>
      </w:r>
    </w:p>
    <w:p>
      <w:pPr/>
      <w:r>
        <w:rPr/>
        <w:t xml:space="preserve">            </w:t>
      </w:r>
    </w:p>
    <w:p>
      <w:pPr>
        <w:jc w:val="both"/>
      </w:pPr>
      <w:r>
        <w:rPr>
          <w:rFonts w:ascii="Montserrat" w:hAnsi="Montserrat" w:eastAsia="Montserrat" w:cs="Montserrat"/>
          <w:sz w:val="17.85"/>
          <w:szCs w:val="17.85"/>
        </w:rPr>
        <w:t xml:space="preserve">                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            </w:t>
      </w:r>
    </w:p>
    <w:p>
      <w:pPr/>
      <w:r>
        <w:rPr/>
        <w:t xml:space="preserve">                            </w:t>
      </w:r>
    </w:p>
    <w:p>
      <w:pPr>
        <w:jc w:val="both"/>
      </w:pPr>
      <w:r>
        <w:rPr>
          <w:rFonts w:ascii="Montserrat" w:hAnsi="Montserrat" w:eastAsia="Montserrat" w:cs="Montserrat"/>
          <w:sz w:val="17.85"/>
          <w:szCs w:val="17.85"/>
        </w:rPr>
        <w:t xml:space="preserve">                    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                    </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r>
        <w:rPr>
          <w:rFonts w:ascii="Montserrat" w:hAnsi="Montserrat" w:eastAsia="Montserrat" w:cs="Montserrat"/>
          <w:sz w:val="17.85"/>
          <w:szCs w:val="17.85"/>
        </w:rPr>
        <w:t xml:space="preserve">                </w:t>
      </w:r>
    </w:p>
    <w:p>
      <w:pPr/>
      <w:r>
        <w:rPr/>
        <w:t xml:space="preserve">                                    </w:t>
      </w:r>
    </w:p>
    <w:p>
      <w:pPr>
        <w:jc w:val="start"/>
      </w:pPr>
      <w:r>
        <w:rPr>
          <w:rFonts w:ascii="Montserrat" w:hAnsi="Montserrat" w:eastAsia="Montserrat" w:cs="Montserrat"/>
          <w:sz w:val="17.85"/>
          <w:szCs w:val="17.85"/>
        </w:rPr>
        <w:t xml:space="preserve">            II. “EL PROVEEDOR” declara que (TRATÁNDOSE DE PERSONA FÍSICA):        </w:t>
      </w:r>
    </w:p>
    <w:p>
      <w:pPr/>
      <w:r>
        <w:rPr/>
        <w:t xml:space="preserve">                </w:t>
      </w:r>
    </w:p>
    <w:p>
      <w:pPr/>
      <w:r>
        <w:rPr/>
        <w:t xml:space="preserve">            II.1. ES UNA PERSONA FÍSICA, DE NACIONALIDAD </w:t>
      </w:r>
      <w:r>
        <w:rPr/>
        <w:t xml:space="preserve"> LO QUE ACREDITA            CON , EXPEDIDA POR .        </w:t>
      </w:r>
    </w:p>
    <w:p>
      <w:pPr/>
      <w:r>
        <w:rPr/>
        <w:t xml:space="preserve">        </w:t>
      </w:r>
    </w:p>
    <w:p>
      <w:pPr/>
      <w:r>
        <w:rPr/>
        <w:t xml:space="preserve">        II.2. REÚNE LAS CONDICIONES TÉCNICAS, JURÍDICAS Y ECONÓMICAS, Y CUENTA CON LA ORGANIZACIÓN Y ELEMENTOS        NECESARIOS PARA SU CUMPLIMIENTO.    </w:t>
      </w:r>
    </w:p>
    <w:p>
      <w:pPr/>
      <w:r>
        <w:rPr/>
        <w:t xml:space="preserve">    </w:t>
      </w:r>
    </w:p>
    <w:p>
      <w:pPr/>
      <w:r>
        <w:rPr/>
        <w:t xml:space="preserve">        II.3. CUENTA CON SU REGISTRO FEDERAL DE CONTRIBUYENTES </w:t>
      </w:r>
      <w:r>
        <w:rPr>
          <w:b w:val="1"/>
          <w:bCs w:val="1"/>
        </w:rPr>
        <w:t xml:space="preserve">123</w:t>
      </w:r>
      <w:r>
        <w:rPr/>
        <w:t xml:space="preserve">.    </w:t>
      </w:r>
    </w:p>
    <w:p>
      <w:pPr/>
      <w:r>
        <w:rPr/>
        <w:t xml:space="preserve">    </w:t>
      </w:r>
    </w:p>
    <w:p>
      <w:pPr/>
      <w:r>
        <w:rPr/>
        <w:t xml:space="preserve">        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    </w:t>
      </w:r>
    </w:p>
    <w:p>
      <w:pPr/>
      <w:r>
        <w:rPr/>
        <w:t xml:space="preserve">    </w:t>
      </w:r>
    </w:p>
    <w:p>
      <w:pPr/>
      <w:r>
        <w:rPr/>
        <w:t xml:space="preserve">        II.5. TIENE ESTABLECIDO SU DOMICILIO EN </w:t>
      </w:r>
      <w:r>
        <w:rPr>
          <w:b w:val="1"/>
          <w:bCs w:val="1"/>
        </w:rPr>
        <w:t xml:space="preserve">4124</w:t>
      </w:r>
      <w:r>
        <w:rPr/>
        <w:t xml:space="preserve"> MISMO QUE SEÑALA PARA LOS        FINES Y EFECTOS LEGALES DEL PRESENTE CONTRATO.    </w:t>
      </w:r>
    </w:p>
    <w:p>
      <w:pPr/>
      <w:r>
        <w:rPr/>
        <w:t xml:space="preserve">    </w:t>
      </w:r>
    </w:p>
    <w:p>
      <w:pPr>
        <w:jc w:val="start"/>
      </w:pPr>
      <w:r>
        <w:rPr>
          <w:rFonts w:ascii="Montserrat" w:hAnsi="Montserrat" w:eastAsia="Montserrat" w:cs="Montserrat"/>
          <w:sz w:val="17.85"/>
          <w:szCs w:val="17.85"/>
          <w:b w:val="1"/>
          <w:bCs w:val="1"/>
        </w:rPr>
        <w:t xml:space="preserve">De “LAS PARTES”:</w:t>
      </w:r>
    </w:p>
    <w:p>
      <w:pPr/>
      <w:r>
        <w:rPr/>
        <w:t xml:space="preserve">    </w:t>
      </w:r>
    </w:p>
    <w:p>
      <w:pPr/>
      <w:r>
        <w:rPr/>
        <w:t xml:space="preserve">        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    </w:t>
      </w:r>
    </w:p>
    <w:p>
      <w:pPr/>
      <w:r>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CLÁUSULAS</w:t>
      </w:r>
      <w:r>
        <w:rPr>
          <w:rFonts w:ascii="Montserrat" w:hAnsi="Montserrat" w:eastAsia="Montserrat" w:cs="Montserrat"/>
          <w:sz w:val="17.85"/>
          <w:szCs w:val="17.85"/>
        </w:rPr>
        <w:t xml:space="preserve">    </w:t>
      </w:r>
    </w:p>
    <w:p>
      <w:pPr/>
      <w:r>
        <w:rPr/>
        <w:t xml:space="preserve">    </w:t>
      </w:r>
    </w:p>
    <w:p>
      <w:pPr>
        <w:pStyle w:val="Heading6"/>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PRIMERA. OBJETO DEL CONTRATO.</w:t>
      </w:r>
      <w:r>
        <w:rPr>
          <w:rFonts w:ascii="Montserrat" w:hAnsi="Montserrat" w:eastAsia="Montserrat" w:cs="Montserrat"/>
          <w:sz w:val="17.85"/>
          <w:szCs w:val="17.85"/>
        </w:rPr>
        <w:t xml:space="preserve">    </w:t>
      </w:r>
    </w:p>
    <w:p>
      <w:pPr/>
      <w:r>
        <w:rPr/>
        <w:t xml:space="preserve">    </w:t>
      </w:r>
    </w:p>
    <w:p>
      <w:pPr>
        <w:jc w:val="both"/>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 ESTE CONTRATO Y SUS ANEXOS QUE FORMAN PARTE INTEGRANTE DEL MISMO.    </w:t>
      </w:r>
    </w:p>
    <w:p>
      <w:pPr/>
      <w:r>
        <w:rPr/>
        <w:t xml:space="preserve">    </w:t>
      </w:r>
    </w:p>
    <w:p>
      <w:pPr>
        <w:pStyle w:val="Heading6"/>
      </w:pPr>
      <w:r>
        <w:rPr>
          <w:rFonts w:ascii="Montserrat" w:hAnsi="Montserrat" w:eastAsia="Montserrat" w:cs="Montserrat"/>
          <w:sz w:val="17.85"/>
          <w:szCs w:val="17.85"/>
        </w:rPr>
        <w:t xml:space="preserve">        SEGUNDA. MONTO DEL CONTRATO    </w:t>
      </w:r>
    </w:p>
    <w:p>
      <w:pPr/>
      <w:r>
        <w:rPr/>
        <w:t xml:space="preserve">    </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            </w:t>
      </w:r>
      <w:r>
        <w:rPr>
          <w:rFonts w:ascii="Montserrat" w:hAnsi="Montserrat" w:eastAsia="Montserrat" w:cs="Montserrat"/>
          <w:sz w:val="17.85"/>
          <w:szCs w:val="17.85"/>
        </w:rPr>
        <w:t xml:space="preserve">                            </w:t>
      </w:r>
      <w:r>
        <w:rPr>
          <w:rFonts w:ascii="Montserrat" w:hAnsi="Montserrat" w:eastAsia="Montserrat" w:cs="Montserrat"/>
          <w:sz w:val="17.85"/>
          <w:szCs w:val="17.85"/>
        </w:rPr>
        <w:t xml:space="preserve">            </w:t>
      </w:r>
    </w:p>
    <w:p>
      <w:pPr/>
      <w:r>
        <w:rPr/>
        <w:t xml:space="preserve">    </w:t>
      </w:r>
    </w:p>
    <w:p>
      <w:pPr>
        <w:jc w:val="both"/>
      </w:pPr>
      <w:r>
        <w:rPr>
          <w:rFonts w:ascii="Montserrat" w:hAnsi="Montserrat" w:eastAsia="Montserrat" w:cs="Montserrat"/>
          <w:sz w:val="17.85"/>
          <w:szCs w:val="17.85"/>
        </w:rPr>
        <w:t xml:space="preserve">        LOS PRECIO UNITARIO DEL PRESENTE CONTRATO, EXPRESADO EN MONEDA NACIONAL SON:    </w:t>
      </w:r>
    </w:p>
    <w:p>
      <w:pPr/>
      <w:r>
        <w:rPr/>
        <w:t xml:space="preserve">    </w:t>
      </w:r>
    </w:p>
    <w:p>
      <w:pPr/>
      <w:r>
        <w:rPr/>
        <w:t xml:space="preserve">            </w:t>
      </w:r>
    </w:p>
    <w:p>
      <w:pPr/>
      <w:r>
        <w:rPr/>
        <w:t xml:space="preserve">    </w:t>
      </w:r>
    </w:p>
    <w:p>
      <w:pPr>
        <w:jc w:val="both"/>
      </w:pPr>
      <w:r>
        <w:rPr>
          <w:rFonts w:ascii="Montserrat" w:hAnsi="Montserrat" w:eastAsia="Montserrat" w:cs="Montserrat"/>
          <w:sz w:val="17.85"/>
          <w:szCs w:val="17.85"/>
        </w:rPr>
        <w:t xml:space="preserve">        EL PRECIO UNITARIO ES CONSIDERADO FIJO Y EN MONEDA NACIONAL HASTA QUE CONCLUYA LA RELACIÓN        CONTRACTUAL QUE SE FORMALIZA, INCLUYENDO TODOS LOS CONCEPTOS Y COSTOS INVOLUCRADOS EN LA        PRESTACIÓN DEL SERVICIO, POR LO QUE “EL PROVEEDOR” NO PODRÁ AGREGAR NINGÚN COSTO EXTRA Y LOS        PRECIOS SERÁN INALTERABLES DURANTE LA VIGENCIA DEL PRESENTE CONTRATO.    </w:t>
      </w:r>
    </w:p>
    <w:p>
      <w:pPr/>
      <w:r>
        <w:rPr/>
        <w:t xml:space="preserve">            </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        </w:t>
      </w:r>
    </w:p>
    <w:p>
      <w:pPr/>
      <w:r>
        <w:rPr/>
        <w:t xml:space="preserve">        </w:t>
      </w:r>
    </w:p>
    <w:p>
      <w:pPr>
        <w:pStyle w:val="Heading6"/>
      </w:pPr>
      <w:r>
        <w:rPr/>
        <w:t xml:space="preserve">        TERCERA. ANTICIPO    </w:t>
      </w:r>
    </w:p>
    <w:p>
      <w:pPr/>
      <w:r>
        <w:rPr/>
        <w:t xml:space="preserve">            </w:t>
      </w:r>
    </w:p>
    <w:p>
      <w:pPr>
        <w:jc w:val="both"/>
      </w:pPr>
      <w:r>
        <w:rPr>
          <w:rFonts w:ascii="Montserrat" w:hAnsi="Montserrat" w:eastAsia="Montserrat" w:cs="Montserrat"/>
          <w:sz w:val="17.85"/>
          <w:szCs w:val="17.85"/>
        </w:rPr>
        <w:t xml:space="preserve">            SE OTORGARÁN A “EL PROVEEDOR”, UN ANTICIPO SOBRE EL MONTO TOTAL DEL            CONTRATO.        </w:t>
      </w:r>
    </w:p>
    <w:p>
      <w:pPr/>
      <w:r>
        <w:rPr/>
        <w:t xml:space="preserve">        </w:t>
      </w:r>
    </w:p>
    <w:p>
      <w:pPr>
        <w:pStyle w:val="Heading6"/>
      </w:pPr>
      <w:r>
        <w:rPr/>
        <w:t xml:space="preserve">        CUARTA. FORMA Y LUGAR DE PAGO    </w:t>
      </w:r>
    </w:p>
    <w:p>
      <w:pPr/>
      <w:r>
        <w:rPr/>
        <w:t xml:space="preserve">    </w:t>
      </w:r>
    </w:p>
    <w:p>
      <w:pPr>
        <w:jc w:val="both"/>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        AVANCE (PAGOS PROGRESIVOS), CONFORME A LOS SERVICIOS EFECTIVAMENTE PRESTADOS Y A ENTERA SATISFACCIÓN DEL        ADMINISTRADOR DEL CONTRATO Y DE ACUERDO CON LO ESTABLECIDO.    </w:t>
      </w:r>
    </w:p>
    <w:p>
      <w:pPr/>
      <w:r>
        <w:rPr/>
        <w:t xml:space="preserve">    </w:t>
      </w:r>
    </w:p>
    <w:p>
      <w:pPr>
        <w:jc w:val="both"/>
      </w:pPr>
      <w:r>
        <w:rPr>
          <w:rFonts w:ascii="Montserrat" w:hAnsi="Montserrat" w:eastAsia="Montserrat" w:cs="Montserrat"/>
          <w:sz w:val="17.85"/>
          <w:szCs w:val="17.85"/>
        </w:rPr>
        <w:t xml:space="preserve">        EL PAGO SE REALIZARÁ EN UN PLAZO MÁXIMO DE 20 (VEINTE) DÍAS NATURALES SIGUIENTES, CONTADOS A PARTIR DE        LA FECHA EN QUE SEA ENTREGADO Y ACEPTADO EL COMPROBANTE FISCAL DIGITAL POR INTERNET (CFDI) O FACTURA        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    </w:t>
      </w:r>
    </w:p>
    <w:p>
      <w:pPr/>
      <w:r>
        <w:rPr/>
        <w:t xml:space="preserve">    </w:t>
      </w:r>
    </w:p>
    <w:p>
      <w:pPr>
        <w:jc w:val="both"/>
      </w:pPr>
      <w:r>
        <w:rPr>
          <w:rFonts w:ascii="Montserrat" w:hAnsi="Montserrat" w:eastAsia="Montserrat" w:cs="Montserrat"/>
          <w:sz w:val="17.85"/>
          <w:szCs w:val="17.85"/>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    </w:t>
      </w:r>
    </w:p>
    <w:p>
      <w:pPr/>
      <w:r>
        <w:rPr/>
        <w:t xml:space="preserve">    </w:t>
      </w:r>
    </w:p>
    <w:p>
      <w:pPr>
        <w:jc w:val="both"/>
      </w:pPr>
      <w:r>
        <w:rPr>
          <w:rFonts w:ascii="Montserrat" w:hAnsi="Montserrat" w:eastAsia="Montserrat" w:cs="Montserrat"/>
          <w:sz w:val="17.85"/>
          <w:szCs w:val="17.85"/>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    </w:t>
      </w:r>
    </w:p>
    <w:p>
      <w:pPr/>
      <w:r>
        <w:rPr/>
        <w:t xml:space="preserve">    </w:t>
      </w:r>
    </w:p>
    <w:p>
      <w:pPr>
        <w:jc w:val="both"/>
      </w:pPr>
      <w:r>
        <w:rPr>
          <w:rFonts w:ascii="Montserrat" w:hAnsi="Montserrat" w:eastAsia="Montserrat" w:cs="Montserrat"/>
          <w:sz w:val="17.85"/>
          <w:szCs w:val="17.85"/>
        </w:rPr>
        <w:t xml:space="preserve">        EL TIEMPO QUE “EL PROVEEDOR” UTILICE PARA LA CORRECCIÓN DEL CFDI Y/O DOCUMENTACIÓN SOPORTE        ENTREGADA, NO SE COMPUTARÁ PARA EFECTOS DE PAGO, DE ACUERDO CON LO ESTABLECIDO EN EL ARTÍCULO 51 DE        LA “LAASSP”.    </w:t>
      </w:r>
    </w:p>
    <w:p>
      <w:pPr/>
      <w:r>
        <w:rPr/>
        <w:t xml:space="preserve">    </w:t>
      </w:r>
    </w:p>
    <w:p>
      <w:pPr>
        <w:jc w:val="both"/>
      </w:pPr>
      <w:r>
        <w:rPr>
          <w:rFonts w:ascii="Montserrat" w:hAnsi="Montserrat" w:eastAsia="Montserrat" w:cs="Montserrat"/>
          <w:sz w:val="17.85"/>
          <w:szCs w:val="17.85"/>
        </w:rPr>
        <w:t xml:space="preserve">        EL CFDI O FACTURA ELECTRÓNICA DEBERÁ SER PRESENTADA DE MANERA FISICA EN LA SUBDELEGACION DE        ADMINISTRACION Y ENVIADA AL CORREO fer.ramirez@issste.gob.mx EL CFDI O FACTURA ELECTRÓNICA SE DEBERÁ        PRESENTAR DESGLOSANDO EL IMPUESTO CUANDO APLIQUE.    </w:t>
      </w:r>
    </w:p>
    <w:p>
      <w:pPr/>
      <w:r>
        <w:rPr/>
        <w:t xml:space="preserve">    </w:t>
      </w:r>
    </w:p>
    <w:p>
      <w:pPr>
        <w:jc w:val="both"/>
      </w:pPr>
      <w:r>
        <w:rPr>
          <w:rFonts w:ascii="Montserrat" w:hAnsi="Montserrat" w:eastAsia="Montserrat" w:cs="Montserrat"/>
          <w:sz w:val="17.85"/>
          <w:szCs w:val="17.85"/>
        </w:rPr>
        <w:t xml:space="preserve">        “EL PROVEEDOR” MANIFIESTA SU CONFORMIDAD QUE, HASTA EN TANTO NO SE CUMPLA CON LA VERIFICACIÓN,        SUPERVISIÓN Y ACEPTACIÓN DE LA PRESTACIÓN DE LOS SERVICIOS, NO SE TENDRÁN COMO RECIBIDOS O ACEPTADOS        POR EL ADMINISTRADOR DEL PRESENTE CONTRATO.    </w:t>
      </w:r>
    </w:p>
    <w:p>
      <w:pPr/>
      <w:r>
        <w:rPr/>
        <w:t xml:space="preserve">    </w:t>
      </w:r>
    </w:p>
    <w:p>
      <w:pPr>
        <w:jc w:val="both"/>
      </w:pPr>
      <w:r>
        <w:rPr>
          <w:rFonts w:ascii="Montserrat" w:hAnsi="Montserrat" w:eastAsia="Montserrat" w:cs="Montserrat"/>
          <w:sz w:val="17.85"/>
          <w:szCs w:val="17.85"/>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    </w:t>
      </w:r>
    </w:p>
    <w:p>
      <w:pPr/>
      <w:r>
        <w:rPr/>
        <w:t xml:space="preserve">    </w:t>
      </w:r>
    </w:p>
    <w:p>
      <w:pPr>
        <w:jc w:val="both"/>
      </w:pPr>
      <w:r>
        <w:rPr>
          <w:rFonts w:ascii="Montserrat" w:hAnsi="Montserrat" w:eastAsia="Montserrat" w:cs="Montserrat"/>
          <w:sz w:val="17.85"/>
          <w:szCs w:val="17.85"/>
        </w:rPr>
        <w:t xml:space="preserve">        “EL PROVEEDOR” DEBERÁ PRESENTAR LA INFORMACIÓN Y DOCUMENTACIÓN “LA DEPENDENCIA O ENTIDAD” LE SOLICITE        PARA EL TRÁMITE DE PAGO, ATENDIENDO A LAS DISPOSICIONES LEGALES E INTERNAS DE “LA DEPENDENCIA O        ENTIDAD”.    </w:t>
      </w:r>
    </w:p>
    <w:p>
      <w:pPr/>
      <w:r>
        <w:rPr/>
        <w:t xml:space="preserve">    </w:t>
      </w:r>
    </w:p>
    <w:p>
      <w:pPr>
        <w:jc w:val="both"/>
      </w:pPr>
      <w:r>
        <w:rPr>
          <w:rFonts w:ascii="Montserrat" w:hAnsi="Montserrat" w:eastAsia="Montserrat" w:cs="Montserrat"/>
          <w:sz w:val="17.85"/>
          <w:szCs w:val="17.85"/>
        </w:rPr>
        <w:t xml:space="preserve">        EL PAGO DE LA PRESTACIÓN DE LOS SERVICIOS RECIBIDOS, QUEDARÁ CONDICIONADO AL PAGO QUE “EL PROVEEDOR”        DEBA EFECTUAR POR CONCEPTO DE PENAS CONVENCIONALES Y, EN SU CASO, DEDUCTIVAS.    </w:t>
      </w:r>
    </w:p>
    <w:p>
      <w:pPr/>
      <w:r>
        <w:rPr/>
        <w:t xml:space="preserve">    </w:t>
      </w:r>
    </w:p>
    <w:p>
      <w:pPr>
        <w:pStyle w:val="Heading6"/>
      </w:pPr>
      <w:r>
        <w:rPr/>
        <w:t xml:space="preserve">        QUINTA. LUGAR, PLAZOS Y CONDICIONES DE LA PRESTACIÓN DE LOS SERVICIOS.    </w:t>
      </w:r>
    </w:p>
    <w:p>
      <w:pPr/>
      <w:r>
        <w:rPr/>
        <w:t xml:space="preserve">    </w:t>
      </w:r>
    </w:p>
    <w:p>
      <w:pPr>
        <w:jc w:val="both"/>
      </w:pPr>
      <w:r>
        <w:rPr>
          <w:rFonts w:ascii="Montserrat" w:hAnsi="Montserrat" w:eastAsia="Montserrat" w:cs="Montserrat"/>
          <w:sz w:val="17.85"/>
          <w:szCs w:val="17.85"/>
        </w:rPr>
        <w:t xml:space="preserve">        A PRESTACIÓN DE LOS SERVICIOS, SE REALIZARÁ CONFORME A LOS PLAZOS, CONDICIONES Y ENTREGABLES        ESTABLECIDOS POR “LA ENTIDAD”.    </w:t>
      </w:r>
    </w:p>
    <w:p>
      <w:pPr/>
      <w:r>
        <w:rPr/>
        <w:t xml:space="preserve">    </w:t>
      </w:r>
    </w:p>
    <w:p>
      <w:pPr>
        <w:jc w:val="both"/>
      </w:pPr>
      <w:r>
        <w:rPr>
          <w:rFonts w:ascii="Montserrat" w:hAnsi="Montserrat" w:eastAsia="Montserrat" w:cs="Montserrat"/>
          <w:sz w:val="17.85"/>
          <w:szCs w:val="17.85"/>
        </w:rPr>
        <w:t xml:space="preserve">        LOS SERVICIOS SERÁN PRESTADOS EN LOS DOMICILIOS SEÑALADOS EN EL Y FECHAS ESTABLECIDAS EN EL MISMO;    </w:t>
      </w:r>
    </w:p>
    <w:p>
      <w:pPr/>
      <w:r>
        <w:rPr/>
        <w:t xml:space="preserve">    </w:t>
      </w:r>
    </w:p>
    <w:p>
      <w:pPr>
        <w:jc w:val="both"/>
      </w:pPr>
      <w:r>
        <w:rPr>
          <w:rFonts w:ascii="Montserrat" w:hAnsi="Montserrat" w:eastAsia="Montserrat" w:cs="Montserrat"/>
          <w:sz w:val="17.85"/>
          <w:szCs w:val="17.85"/>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    </w:t>
      </w:r>
    </w:p>
    <w:p>
      <w:pPr/>
      <w:r>
        <w:rPr/>
        <w:t xml:space="preserve">    </w:t>
      </w:r>
    </w:p>
    <w:p>
      <w:pPr>
        <w:pStyle w:val="Heading6"/>
      </w:pPr>
      <w:r>
        <w:rPr/>
        <w:t xml:space="preserve">        SEXTA. VIGENCIA    </w:t>
      </w:r>
    </w:p>
    <w:p>
      <w:pPr/>
      <w:r>
        <w:rPr/>
        <w:t xml:space="preserve">    </w:t>
      </w:r>
    </w:p>
    <w:p>
      <w:pPr>
        <w:jc w:val="both"/>
      </w:pPr>
      <w:r>
        <w:rPr>
          <w:rFonts w:ascii="Montserrat" w:hAnsi="Montserrat" w:eastAsia="Montserrat" w:cs="Montserrat"/>
          <w:sz w:val="17.85"/>
          <w:szCs w:val="17.85"/>
        </w:rPr>
        <w:t xml:space="preserve">        “LAS PARTES” convienen en que la vigencia del presente contrato será del        123.    </w:t>
      </w:r>
    </w:p>
    <w:p>
      <w:pPr/>
      <w:r>
        <w:rPr/>
        <w:t xml:space="preserve">    </w:t>
      </w:r>
    </w:p>
    <w:p>
      <w:pPr>
        <w:pStyle w:val="Heading6"/>
      </w:pPr>
      <w:r>
        <w:rPr/>
        <w:t xml:space="preserve">        SÉPTIMA. MODIFICACIONES DEL CONTRATO.    </w:t>
      </w:r>
    </w:p>
    <w:p>
      <w:pPr/>
      <w:r>
        <w:rPr/>
        <w:t xml:space="preserve">    </w:t>
      </w:r>
    </w:p>
    <w:p>
      <w:pPr>
        <w:jc w:val="both"/>
      </w:pPr>
      <w:r>
        <w:rPr>
          <w:rFonts w:ascii="Montserrat" w:hAnsi="Montserrat" w:eastAsia="Montserrat" w:cs="Montserrat"/>
          <w:sz w:val="17.85"/>
          <w:szCs w:val="17.85"/>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    </w:t>
      </w:r>
    </w:p>
    <w:p>
      <w:pPr/>
      <w:r>
        <w:rPr/>
        <w:t xml:space="preserve">    </w:t>
      </w:r>
    </w:p>
    <w:p>
      <w:pPr>
        <w:jc w:val="both"/>
      </w:pPr>
      <w:r>
        <w:rPr>
          <w:rFonts w:ascii="Montserrat" w:hAnsi="Montserrat" w:eastAsia="Montserrat" w:cs="Montserrat"/>
          <w:sz w:val="17.85"/>
          <w:szCs w:val="17.85"/>
        </w:rPr>
        <w:t xml:space="preserve">        “LA DEPENDENCIA O ENTIDAD”, PODRÁ AMPLIAR LA VIGENCIA DEL PRESENTE INSTRUMENTO, SIEMPRE Y CUANDO, NO        IMPLIQUE INCREMENTO DEL MONTO CONTRATADO O DE LA CANTIDAD DEL SERVICIO, SIENDO NECESARIO QUE SE OBTENGA        EL PREVIO CONSENTIMIENTO DE “EL PROVEEDOR”.    </w:t>
      </w:r>
    </w:p>
    <w:p>
      <w:pPr/>
      <w:r>
        <w:rPr/>
        <w:t xml:space="preserve">    </w:t>
      </w:r>
    </w:p>
    <w:p>
      <w:pPr>
        <w:jc w:val="both"/>
      </w:pPr>
      <w:r>
        <w:rPr>
          <w:rFonts w:ascii="Montserrat" w:hAnsi="Montserrat" w:eastAsia="Montserrat" w:cs="Montserrat"/>
          <w:sz w:val="17.85"/>
          <w:szCs w:val="17.85"/>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    </w:t>
      </w:r>
    </w:p>
    <w:p>
      <w:pPr/>
      <w:r>
        <w:rPr/>
        <w:t xml:space="preserve">    </w:t>
      </w:r>
    </w:p>
    <w:p>
      <w:pPr>
        <w:jc w:val="both"/>
      </w:pPr>
      <w:r>
        <w:rPr>
          <w:rFonts w:ascii="Montserrat" w:hAnsi="Montserrat" w:eastAsia="Montserrat" w:cs="Montserrat"/>
          <w:sz w:val="17.85"/>
          <w:szCs w:val="17.85"/>
        </w:rPr>
        <w:t xml:space="preserve">        EN LOS SUPUESTOS PREVISTOS EN LOS DOS PÁRRAFOS ANTERIORES, NO PROCEDERÁ LA APLICACIÓN DE PENAS        CONVENCIONALES POR ATRASO.    </w:t>
      </w:r>
    </w:p>
    <w:p>
      <w:pPr/>
      <w:r>
        <w:rPr/>
        <w:t xml:space="preserve">    </w:t>
      </w:r>
    </w:p>
    <w:p>
      <w:pPr>
        <w:jc w:val="both"/>
      </w:pPr>
      <w:r>
        <w:rPr>
          <w:rFonts w:ascii="Montserrat" w:hAnsi="Montserrat" w:eastAsia="Montserrat" w:cs="Montserrat"/>
          <w:sz w:val="17.85"/>
          <w:szCs w:val="17.85"/>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    </w:t>
      </w:r>
    </w:p>
    <w:p>
      <w:pPr/>
      <w:r>
        <w:rPr/>
        <w:t xml:space="preserve">    </w:t>
      </w:r>
    </w:p>
    <w:p>
      <w:pPr>
        <w:jc w:val="both"/>
      </w:pPr>
      <w:r>
        <w:rPr>
          <w:rFonts w:ascii="Montserrat" w:hAnsi="Montserrat" w:eastAsia="Montserrat" w:cs="Montserrat"/>
          <w:sz w:val="17.85"/>
          <w:szCs w:val="17.85"/>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    </w:t>
      </w:r>
    </w:p>
    <w:p>
      <w:pPr/>
      <w:r>
        <w:rPr/>
        <w:t xml:space="preserve">    </w:t>
      </w:r>
    </w:p>
    <w:p>
      <w:pPr>
        <w:pStyle w:val="Heading6"/>
      </w:pPr>
      <w:r>
        <w:rPr/>
        <w:t xml:space="preserve">        OCTAVA. GARANTÍA DE LOS SERVICIOS    </w:t>
      </w:r>
    </w:p>
    <w:p>
      <w:pPr/>
      <w:r>
        <w:rPr/>
        <w:t xml:space="preserve">            </w:t>
      </w:r>
    </w:p>
    <w:p>
      <w:pPr>
        <w:jc w:val="both"/>
      </w:pPr>
      <w:r>
        <w:rPr>
          <w:rFonts w:ascii="Montserrat" w:hAnsi="Montserrat" w:eastAsia="Montserrat" w:cs="Montserrat"/>
          <w:sz w:val="17.85"/>
          <w:szCs w:val="17.85"/>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r>
        <w:rPr/>
        <w:t xml:space="preserve">        </w:t>
      </w:r>
    </w:p>
    <w:p>
      <w:pPr>
        <w:pStyle w:val="Heading6"/>
      </w:pPr>
      <w:r>
        <w:rPr>
          <w:rFonts w:ascii="Montserrat" w:hAnsi="Montserrat" w:eastAsia="Montserrat" w:cs="Montserrat"/>
          <w:sz w:val="17.85"/>
          <w:szCs w:val="17.85"/>
        </w:rPr>
        <w:t xml:space="preserve">        NOVENA. GARANTÍA    </w:t>
      </w:r>
    </w:p>
    <w:p>
      <w:pPr/>
      <w:r>
        <w:rPr/>
        <w:t xml:space="preserve">            </w:t>
      </w:r>
    </w:p>
    <w:p>
      <w:pPr>
        <w:jc w:val="both"/>
      </w:pPr>
      <w:r>
        <w:rPr>
          <w:rFonts w:ascii="Montserrat" w:hAnsi="Montserrat" w:eastAsia="Montserrat" w:cs="Montserrat"/>
          <w:sz w:val="17.85"/>
          <w:szCs w:val="17.85"/>
        </w:rPr>
        <w:t xml:space="preserve">            “EL PROVEEDOR” ENTREGARÁ A “LA DEPENDENCIA”, PREVIAMENTE A LA ENTREGA DEL ANTICIPO UNA            GARANTÍA CONSTITUIDA POR LA TOTALIDAD DEL MONTO DEL ANTICIPO RECIBIDO.        </w:t>
      </w:r>
    </w:p>
    <w:p>
      <w:pPr/>
      <w:r>
        <w:rPr/>
        <w:t xml:space="preserve">        </w:t>
      </w:r>
    </w:p>
    <w:p>
      <w:pPr>
        <w:jc w:val="both"/>
      </w:pPr>
      <w:r>
        <w:rPr>
          <w:rFonts w:ascii="Montserrat" w:hAnsi="Montserrat" w:eastAsia="Montserrat" w:cs="Montserrat"/>
          <w:sz w:val="17.85"/>
          <w:szCs w:val="17.85"/>
        </w:rPr>
        <w:t xml:space="preserve">            EL OTORGAMIENTO DE ANTICIPO, DEBERÁ GARANTIZARSE EN LOS TÉRMINOS DE LOS ARTÍCULOS 48, DE LA            “LAASSP”; 81, PÁRRAFO PRIMERO Y FRACCIÓN V, DE SU REGLAMENTO.        </w:t>
      </w:r>
    </w:p>
    <w:p>
      <w:pPr/>
      <w:r>
        <w:rPr/>
        <w:t xml:space="preserve">        </w:t>
      </w:r>
    </w:p>
    <w:p>
      <w:pPr>
        <w:jc w:val="both"/>
      </w:pPr>
      <w:r>
        <w:rPr>
          <w:rFonts w:ascii="Montserrat" w:hAnsi="Montserrat" w:eastAsia="Montserrat" w:cs="Montserrat"/>
          <w:sz w:val="17.85"/>
          <w:szCs w:val="17.85"/>
        </w:rPr>
        <w:t xml:space="preserve">            SI LAS DISPOSICIONES JURÍDICAS APLICABLES LO PERMITEN, LA ENTREGA DE LA GARANTÍA DE ANTICIPO PODRÁ            REALIZARSE DE MANERA ELECTRÓNICA.        </w:t>
      </w:r>
    </w:p>
    <w:p>
      <w:pPr/>
      <w:r>
        <w:rPr/>
        <w:t xml:space="preserve">        </w:t>
      </w:r>
    </w:p>
    <w:p>
      <w:pPr>
        <w:jc w:val="both"/>
      </w:pPr>
      <w:r>
        <w:rPr>
          <w:rFonts w:ascii="Montserrat" w:hAnsi="Montserrat" w:eastAsia="Montserrat" w:cs="Montserrat"/>
          <w:sz w:val="17.85"/>
          <w:szCs w:val="17.85"/>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t xml:space="preserve">        </w:t>
      </w:r>
    </w:p>
    <w:p>
      <w:pPr/>
      <w:r>
        <w:rPr>
          <w:b w:val="1"/>
          <w:bCs w:val="1"/>
        </w:rPr>
        <w:t xml:space="preserve">B CUMPLIMIENTO DEL CONTRATO.</w:t>
      </w:r>
    </w:p>
    <w:p>
      <w:pPr/>
      <w:r>
        <w:rPr/>
        <w:t xml:space="preserve">    </w:t>
      </w:r>
    </w:p>
    <w:p>
      <w:pPr>
        <w:jc w:val="both"/>
      </w:pPr>
      <w:r>
        <w:rPr>
          <w:rFonts w:ascii="Montserrat" w:hAnsi="Montserrat" w:eastAsia="Montserrat" w:cs="Montserrat"/>
          <w:sz w:val="17.85"/>
          <w:szCs w:val="17.85"/>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    </w:t>
      </w:r>
    </w:p>
    <w:p>
      <w:pPr/>
      <w:r>
        <w:rPr/>
        <w:t xml:space="preserve">    </w:t>
      </w:r>
    </w:p>
    <w:p>
      <w:pPr>
        <w:jc w:val="both"/>
      </w:pPr>
      <w:r>
        <w:rPr>
          <w:rFonts w:ascii="Montserrat" w:hAnsi="Montserrat" w:eastAsia="Montserrat" w:cs="Montserrat"/>
          <w:sz w:val="17.85"/>
          <w:szCs w:val="17.85"/>
        </w:rPr>
        <w:t xml:space="preserve">        DICHA FIANZA DEBERÁ SER ENTREGADA A “LA DEPENDENCIA O ENTIDAD”, A MÁS TARDAR DENTRO DE LOS 10 DÍAS        NATURALES POSTERIORES A LA FIRMA DEL PRESENTE CONTRATO.    </w:t>
      </w:r>
    </w:p>
    <w:p>
      <w:pPr/>
      <w:r>
        <w:rPr/>
        <w:t xml:space="preserve">    </w:t>
      </w:r>
    </w:p>
    <w:p>
      <w:pPr>
        <w:jc w:val="both"/>
      </w:pPr>
      <w:r>
        <w:rPr>
          <w:rFonts w:ascii="Montserrat" w:hAnsi="Montserrat" w:eastAsia="Montserrat" w:cs="Montserrat"/>
          <w:sz w:val="17.85"/>
          <w:szCs w:val="17.85"/>
        </w:rPr>
        <w:t xml:space="preserve">        SI LAS DISPOSICIONES JURÍDICAS APLICABLES LO PERMITEN, LA ENTREGA DE LA GARANTÍA DE CUMPLIMIENTO SE        PODRÁ REALIZAR DE MANERA ELECTRÓNICA.    </w:t>
      </w:r>
    </w:p>
    <w:p>
      <w:pPr/>
      <w:r>
        <w:rPr/>
        <w:t xml:space="preserve">    </w:t>
      </w:r>
    </w:p>
    <w:p>
      <w:pPr>
        <w:jc w:val="both"/>
      </w:pPr>
      <w:r>
        <w:rPr>
          <w:rFonts w:ascii="Montserrat" w:hAnsi="Montserrat" w:eastAsia="Montserrat" w:cs="Montserrat"/>
          <w:sz w:val="17.85"/>
          <w:szCs w:val="17.85"/>
        </w:rPr>
        <w:t xml:space="preserve">        EN CASO DE QUE “EL PROVEEDOR” INCUMPLA CON LA ENTREGA DE LA GARANTÍA EN EL PLAZO ESTABLECIDO, “LA        DEPENDENCIA O ENTIDAD” PODRÁ RESCINDIR EL CONTRATO Y DARÁ VISTA AL ÓRGANO INTERNO DE CONTROL PARA QUE        PROCEDA EN EL ÁMBITO DE SUS FACULTADES.    </w:t>
      </w:r>
    </w:p>
    <w:p>
      <w:pPr/>
      <w:r>
        <w:rPr/>
        <w:t xml:space="preserve">    </w:t>
      </w:r>
    </w:p>
    <w:p>
      <w:pPr>
        <w:jc w:val="both"/>
      </w:pPr>
      <w:r>
        <w:rPr>
          <w:rFonts w:ascii="Montserrat" w:hAnsi="Montserrat" w:eastAsia="Montserrat" w:cs="Montserrat"/>
          <w:sz w:val="17.85"/>
          <w:szCs w:val="17.85"/>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    </w:t>
      </w:r>
    </w:p>
    <w:p>
      <w:pPr/>
      <w:r>
        <w:rPr/>
        <w:t xml:space="preserve">    </w:t>
      </w:r>
    </w:p>
    <w:p>
      <w:pPr>
        <w:jc w:val="both"/>
      </w:pPr>
      <w:r>
        <w:rPr>
          <w:rFonts w:ascii="Montserrat" w:hAnsi="Montserrat" w:eastAsia="Montserrat" w:cs="Montserrat"/>
          <w:sz w:val="17.85"/>
          <w:szCs w:val="17.85"/>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    </w:t>
      </w:r>
    </w:p>
    <w:p>
      <w:pPr/>
      <w:r>
        <w:rPr/>
        <w:t xml:space="preserve">    </w:t>
      </w:r>
    </w:p>
    <w:p>
      <w:pPr>
        <w:jc w:val="both"/>
      </w:pPr>
      <w:r>
        <w:rPr>
          <w:rFonts w:ascii="Montserrat" w:hAnsi="Montserrat" w:eastAsia="Montserrat" w:cs="Montserrat"/>
          <w:sz w:val="17.85"/>
          <w:szCs w:val="17.85"/>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    </w:t>
      </w:r>
    </w:p>
    <w:p>
      <w:pPr/>
      <w:r>
        <w:rPr/>
        <w:t xml:space="preserve">    </w:t>
      </w:r>
    </w:p>
    <w:p>
      <w:pPr>
        <w:jc w:val="both"/>
      </w:pPr>
      <w:r>
        <w:rPr>
          <w:rFonts w:ascii="Montserrat" w:hAnsi="Montserrat" w:eastAsia="Montserrat" w:cs="Montserrat"/>
          <w:sz w:val="17.85"/>
          <w:szCs w:val="17.85"/>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    </w:t>
      </w:r>
    </w:p>
    <w:p>
      <w:pPr/>
      <w:r>
        <w:rPr/>
        <w:t xml:space="preserve">    </w:t>
      </w:r>
    </w:p>
    <w:p>
      <w:pPr/>
      <w:r>
        <w:rPr>
          <w:b w:val="1"/>
          <w:bCs w:val="1"/>
        </w:rPr>
        <w:t xml:space="preserve">C GARANTÍA PARA RESPONDER POR VICIOS OCULTOS.</w:t>
      </w:r>
    </w:p>
    <w:p>
      <w:pPr/>
      <w:r>
        <w:rPr/>
        <w:t xml:space="preserve">    </w:t>
      </w:r>
    </w:p>
    <w:p>
      <w:pPr>
        <w:jc w:val="both"/>
      </w:pPr>
      <w:r>
        <w:rPr>
          <w:rFonts w:ascii="Montserrat" w:hAnsi="Montserrat" w:eastAsia="Montserrat" w:cs="Montserrat"/>
          <w:sz w:val="17.85"/>
          <w:szCs w:val="17.85"/>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    </w:t>
      </w:r>
    </w:p>
    <w:p>
      <w:pPr/>
      <w:r>
        <w:rPr/>
        <w:t xml:space="preserve">    </w:t>
      </w:r>
    </w:p>
    <w:p>
      <w:pPr>
        <w:jc w:val="both"/>
      </w:pPr>
      <w:r>
        <w:rPr>
          <w:rFonts w:ascii="Montserrat" w:hAnsi="Montserrat" w:eastAsia="Montserrat" w:cs="Montserrat"/>
          <w:sz w:val="17.85"/>
          <w:szCs w:val="17.85"/>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    </w:t>
      </w:r>
    </w:p>
    <w:p>
      <w:pPr/>
      <w:r>
        <w:rPr/>
        <w:t xml:space="preserve">    </w:t>
      </w:r>
    </w:p>
    <w:p>
      <w:pPr>
        <w:pStyle w:val="Heading6"/>
      </w:pPr>
      <w:r>
        <w:rPr/>
        <w:t xml:space="preserve">DÉCIMA. OBLIGACIONES DE “EL PROVEEDOR”.</w:t>
      </w:r>
    </w:p>
    <w:p>
      <w:pPr/>
      <w:r>
        <w:rPr/>
        <w:t xml:space="preserve">    </w:t>
      </w:r>
    </w:p>
    <w:p>
      <w:pPr>
        <w:pStyle w:val="Heading6"/>
      </w:pPr>
      <w:r>
        <w:rPr>
          <w:b w:val="1"/>
          <w:bCs w:val="1"/>
        </w:rPr>
        <w:t xml:space="preserve">“EL PROVEEDOR”, SE OBLIGA A: </w:t>
      </w:r>
    </w:p>
    <w:p>
      <w:pPr/>
      <w:r>
        <w:rPr/>
        <w:t xml:space="preserve">    </w:t>
      </w:r>
    </w:p>
    <w:p>
      <w:pPr/>
      <w:r>
        <w:rPr/>
        <w:t xml:space="preserve">        </w:t>
      </w:r>
    </w:p>
    <w:p>
      <w:pPr>
        <w:numPr>
          <w:ilvl w:val="0"/>
          <w:numId w:val="1"/>
        </w:numPr>
      </w:pPr>
      <w:r>
        <w:rPr/>
        <w:t xml:space="preserve">            PRESTAR LOS SERVICIOS EN LAS FECHAS O PLAZOS Y LUGARES ESTABLECIDOS CONFORME A LO PACTADO EN EL            PRESENTE CONTRATO Y ANEXOS RESPECTIVOS.        </w:t>
      </w:r>
    </w:p>
    <w:p>
      <w:pPr/>
      <w:r>
        <w:rPr/>
        <w:t xml:space="preserve">        </w:t>
      </w:r>
    </w:p>
    <w:p>
      <w:pPr>
        <w:numPr>
          <w:ilvl w:val="0"/>
          <w:numId w:val="1"/>
        </w:numPr>
      </w:pPr>
      <w:r>
        <w:rPr/>
        <w:t xml:space="preserve">            CUMPLIR CON LAS ESPECIFICACIONES TÉCNICAS, DE CALIDAD Y DEMÁS CONDICIONES ESTABLECIDAS EN EL            PRESENTE CONTRATO Y SUS RESPECTIVOS ANEXOS.        </w:t>
      </w:r>
    </w:p>
    <w:p>
      <w:pPr/>
      <w:r>
        <w:rPr/>
        <w:t xml:space="preserve">        </w:t>
      </w:r>
    </w:p>
    <w:p>
      <w:pPr>
        <w:numPr>
          <w:ilvl w:val="0"/>
          <w:numId w:val="1"/>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1"/>
        </w:numPr>
      </w:pPr>
      <w:r>
        <w:rPr/>
        <w:t xml:space="preserve">            PROPORCIONAR LA INFORMACIÓN QUE LE SEA REQUERIDA POR LA SECRETARÍA DE LA FUNCIÓN PÚBLICA Y EL ÓRGANO            INTERNO DE CONTROL, DE CONFORMIDAD CON EL ARTÍCULO 107 DEL REGLAMENTO DE LA “LAASSP”.        </w:t>
      </w:r>
    </w:p>
    <w:p>
      <w:pPr/>
      <w:r>
        <w:rPr/>
        <w:t xml:space="preserve">    </w:t>
      </w:r>
    </w:p>
    <w:p>
      <w:pPr/>
      <w:r>
        <w:rPr/>
        <w:t xml:space="preserve">    </w:t>
      </w:r>
    </w:p>
    <w:p>
      <w:pPr>
        <w:pStyle w:val="Heading6"/>
      </w:pPr>
      <w:r>
        <w:rPr>
          <w:b w:val="1"/>
          <w:bCs w:val="1"/>
        </w:rPr>
        <w:t xml:space="preserve">DÉCIMA PRIMERA. OBLIGACIONES DE “LA DEPENDENCIA O ENTIDAD”</w:t>
      </w:r>
    </w:p>
    <w:p>
      <w:pPr/>
      <w:r>
        <w:rPr/>
        <w:t xml:space="preserve">    </w:t>
      </w:r>
    </w:p>
    <w:p>
      <w:pPr>
        <w:pStyle w:val="Heading6"/>
      </w:pPr>
      <w:r>
        <w:rPr>
          <w:b w:val="1"/>
          <w:bCs w:val="1"/>
        </w:rPr>
        <w:t xml:space="preserve">“LA DEPENDENCIA O ENTIDAD”, SE OBLIGA A:</w:t>
      </w:r>
    </w:p>
    <w:p>
      <w:pPr/>
      <w:r>
        <w:rPr/>
        <w:t xml:space="preserve">    </w:t>
      </w:r>
    </w:p>
    <w:p>
      <w:pPr/>
      <w:r>
        <w:rPr/>
        <w:t xml:space="preserve">        </w:t>
      </w:r>
    </w:p>
    <w:p>
      <w:pPr>
        <w:numPr>
          <w:ilvl w:val="0"/>
          <w:numId w:val="2"/>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2"/>
        </w:numPr>
      </w:pPr>
      <w:r>
        <w:rPr/>
        <w:t xml:space="preserve">            REALIZAR EL PAGO CORRESPONDIENTE EN TIEMPO Y FORMA.        </w:t>
      </w:r>
    </w:p>
    <w:p>
      <w:pPr/>
      <w:r>
        <w:rPr/>
        <w:t xml:space="preserve">                    </w:t>
      </w:r>
    </w:p>
    <w:p>
      <w:pPr>
        <w:numPr>
          <w:ilvl w:val="0"/>
          <w:numId w:val="2"/>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r>
        <w:rPr/>
        <w:t xml:space="preserve">    </w:t>
      </w:r>
    </w:p>
    <w:p>
      <w:pPr>
        <w:pStyle w:val="Heading6"/>
      </w:pPr>
      <w:r>
        <w:rPr/>
        <w:t xml:space="preserve">DÉCIMA SEGUNDA. ADMINISTRACIÓN, VERIFICACIÓN, SUPERVISIÓN Y ACEPTACIÓN DE LOS SERVICIOS</w:t>
      </w:r>
    </w:p>
    <w:p>
      <w:pPr/>
      <w:r>
        <w:rPr/>
        <w:t xml:space="preserve">    </w:t>
      </w:r>
    </w:p>
    <w:p>
      <w:pPr/>
      <w:r>
        <w:rPr/>
        <w:t xml:space="preserve">        </w:t>
      </w:r>
      <w:r>
        <w:rPr>
          <w:b w:val="1"/>
          <w:bCs w:val="1"/>
        </w:rPr>
        <w:t xml:space="preserve">“LA DEPENDENCIA"</w:t>
      </w:r>
      <w:r>
        <w:rPr/>
        <w:t xml:space="preserve"> DESIGNA COMO ADMINISTRADOR DEL PRESENTE CONTRATO A        </w:t>
      </w:r>
      <w:r>
        <w:rPr>
          <w:b w:val="1"/>
          <w:bCs w:val="1"/>
        </w:rPr>
        <w:t xml:space="preserve">FRANCISCO            SANTAELLA            RUIZ</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    </w:t>
      </w:r>
    </w:p>
    <w:p>
      <w:pPr/>
      <w:r>
        <w:rPr/>
        <w:t xml:space="preserve">    </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    </w:t>
      </w:r>
    </w:p>
    <w:p>
      <w:pPr/>
      <w:r>
        <w:rPr/>
        <w:t xml:space="preserve">    </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    </w:t>
      </w:r>
    </w:p>
    <w:p>
      <w:pPr/>
      <w:r>
        <w:rPr/>
        <w:t xml:space="preserve">    </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    </w:t>
      </w:r>
    </w:p>
    <w:p>
      <w:pPr/>
      <w:r>
        <w:rPr/>
        <w:t xml:space="preserve">    </w:t>
      </w:r>
    </w:p>
    <w:p>
      <w:pPr>
        <w:pStyle w:val="Heading6"/>
      </w:pPr>
      <w:r>
        <w:rPr/>
        <w:t xml:space="preserve">        DÉCIMA TERCERA. DEDUCCIONES    </w:t>
      </w:r>
    </w:p>
    <w:p>
      <w:pPr/>
      <w:r>
        <w:rPr/>
        <w:t xml:space="preserve">    </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    </w:t>
      </w:r>
    </w:p>
    <w:p>
      <w:pPr/>
      <w:r>
        <w:rPr/>
        <w:t xml:space="preserve">    </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    </w:t>
      </w:r>
    </w:p>
    <w:p>
      <w:pPr/>
      <w:r>
        <w:rPr/>
        <w:t xml:space="preserve">    </w:t>
      </w:r>
    </w:p>
    <w:p>
      <w:pPr/>
      <w:r>
        <w:rPr/>
        <w:t xml:space="preserve">        LAS DEDUCCIONES ECONÓMICAS SE APLICARÁN SOBRE LA CANTIDAD INDICADA SIN INCLUIR IMPUESTOS.    </w:t>
      </w:r>
    </w:p>
    <w:p>
      <w:pPr/>
      <w:r>
        <w:rPr/>
        <w:t xml:space="preserve">    </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    </w:t>
      </w:r>
    </w:p>
    <w:p>
      <w:pPr/>
      <w:r>
        <w:rPr/>
        <w:t xml:space="preserve">    </w:t>
      </w:r>
    </w:p>
    <w:p>
      <w:pPr>
        <w:pStyle w:val="Heading6"/>
      </w:pPr>
      <w:r>
        <w:rPr/>
        <w:t xml:space="preserve">        DÉCIMA CUARTA. PENAS CONVENCIONALES    </w:t>
      </w:r>
    </w:p>
    <w:p>
      <w:pPr/>
      <w:r>
        <w:rPr/>
        <w:t xml:space="preserve">    </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    </w:t>
      </w:r>
    </w:p>
    <w:p>
      <w:pPr/>
      <w:r>
        <w:rPr/>
        <w:t xml:space="preserve">    </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    </w:t>
      </w:r>
    </w:p>
    <w:p>
      <w:pPr/>
      <w:r>
        <w:rPr/>
        <w:t xml:space="preserve">    </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    </w:t>
      </w:r>
    </w:p>
    <w:p>
      <w:pPr/>
      <w:r>
        <w:rPr/>
        <w:t xml:space="preserve">    </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    </w:t>
      </w:r>
    </w:p>
    <w:p>
      <w:pPr/>
      <w:r>
        <w:rPr/>
        <w:t xml:space="preserve">    </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    </w:t>
      </w:r>
    </w:p>
    <w:p>
      <w:pPr/>
      <w:r>
        <w:rPr/>
        <w:t xml:space="preserve">    </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    </w:t>
      </w:r>
    </w:p>
    <w:p>
      <w:pPr/>
      <w:r>
        <w:rPr/>
        <w:t xml:space="preserve">    </w:t>
      </w:r>
    </w:p>
    <w:p>
      <w:pPr>
        <w:pStyle w:val="Heading6"/>
      </w:pPr>
      <w:r>
        <w:rPr/>
        <w:t xml:space="preserve">        DÉCIMA QUINTA. LICENCIAS, AUTORIZACIONES Y PERMISOS    </w:t>
      </w:r>
    </w:p>
    <w:p>
      <w:pPr/>
      <w:r>
        <w:rPr/>
        <w:t xml:space="preserve">    </w:t>
      </w:r>
    </w:p>
    <w:p>
      <w:pPr/>
      <w:r>
        <w:rPr/>
        <w:t xml:space="preserve">        “EL PROVEEDOR” SE OBLIGA A OBSERVAR Y MANTENER VIGENTES LAS LICENCIAS, AUTORIZACIONES, PERMISOS O        REGISTROS REQUERIDOS PARA EL CUMPLIMIENTO DE SUS OBLIGACIONES.    </w:t>
      </w:r>
    </w:p>
    <w:p>
      <w:pPr/>
      <w:r>
        <w:rPr/>
        <w:t xml:space="preserve">7    </w:t>
      </w:r>
    </w:p>
    <w:p>
      <w:pPr>
        <w:pStyle w:val="Heading6"/>
      </w:pPr>
      <w:r>
        <w:rPr/>
        <w:t xml:space="preserve">        DÉCIMA SEXTA. PÓLIZA DE RESPONSABILIDAD CIVIL    </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r>
        <w:rPr/>
        <w:t xml:space="preserve">        </w:t>
      </w:r>
    </w:p>
    <w:p>
      <w:pPr>
        <w:pStyle w:val="Heading6"/>
      </w:pPr>
      <w:r>
        <w:rPr/>
        <w:t xml:space="preserve">        DÉCIMA SÉPTIMA. TRANSPORTE    </w:t>
      </w:r>
    </w:p>
    <w:p>
      <w:pPr/>
      <w:r>
        <w:rPr/>
        <w:t xml:space="preserve">    </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    </w:t>
      </w:r>
    </w:p>
    <w:p>
      <w:pPr/>
      <w:r>
        <w:rPr/>
        <w:t xml:space="preserve">    </w:t>
      </w:r>
    </w:p>
    <w:p>
      <w:pPr>
        <w:pStyle w:val="Heading6"/>
      </w:pPr>
      <w:r>
        <w:rPr/>
        <w:t xml:space="preserve">        DÉCIMA OCTAVA. IMPUESTOS Y DERECHOS    </w:t>
      </w:r>
    </w:p>
    <w:p>
      <w:pPr/>
      <w:r>
        <w:rPr/>
        <w:t xml:space="preserve">    </w:t>
      </w:r>
    </w:p>
    <w:p>
      <w:pPr/>
      <w:r>
        <w:rPr/>
        <w:t xml:space="preserve">        LOS IMPUESTOS, DERECHOS Y GASTOS QUE PROCEDAN CON MOTIVO DE LA PRESTACIÓN DE LOS SERVICIOS, OBJETO DEL        PRESENTE CONTRATO, SERÁN PAGADOS POR “EL PROVEEDOR”, MISMOS QUE NO SERÁN REPERCUTIDOS A “LA DEPENDENCIA        O ENTIDAD”.    </w:t>
      </w:r>
    </w:p>
    <w:p>
      <w:pPr/>
      <w:r>
        <w:rPr/>
        <w:t xml:space="preserve">    </w:t>
      </w:r>
    </w:p>
    <w:p>
      <w:pPr/>
      <w:r>
        <w:rPr/>
        <w:t xml:space="preserve">        “LA DEPENDENCIA O ENTIDAD” SÓLO CUBRIRÁ, CUANDO APLIQUE, LO CORRESPONDIENTE AL IMPUESTO AL VALOR        AGREGADO (IVA), EN LOS TÉRMINOS DE LA NORMATIVIDAD APLICABLE Y DE CONFORMIDAD CON LAS DISPOSICIONES        FISCALES VIGENTES.    </w:t>
      </w:r>
    </w:p>
    <w:p>
      <w:pPr/>
      <w:r>
        <w:rPr/>
        <w:t xml:space="preserve">    </w:t>
      </w:r>
    </w:p>
    <w:p>
      <w:pPr>
        <w:pStyle w:val="Heading6"/>
      </w:pPr>
      <w:r>
        <w:rPr/>
        <w:t xml:space="preserve">        DÉCIMA NOVENA. PROHIBICIÓN DE CESIÓN DE DERECHOS Y OBLIGACIONES    </w:t>
      </w:r>
    </w:p>
    <w:p>
      <w:pPr/>
      <w:r>
        <w:rPr/>
        <w:t xml:space="preserve">    </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    </w:t>
      </w:r>
    </w:p>
    <w:p>
      <w:pPr/>
      <w:r>
        <w:rPr/>
        <w:t xml:space="preserve">    </w:t>
      </w:r>
    </w:p>
    <w:p>
      <w:pPr>
        <w:pStyle w:val="Heading6"/>
      </w:pPr>
      <w:r>
        <w:rPr/>
        <w:t xml:space="preserve">        VIGÉSIMA. DERECHOS DE AUTOR, PATENTES Y/O MARCAS    </w:t>
      </w:r>
    </w:p>
    <w:p>
      <w:pPr/>
      <w:r>
        <w:rPr/>
        <w:t xml:space="preserve">    </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    </w:t>
      </w:r>
    </w:p>
    <w:p>
      <w:pPr/>
      <w:r>
        <w:rPr/>
        <w:t xml:space="preserve">    </w:t>
      </w:r>
    </w:p>
    <w:p>
      <w:pPr>
        <w:pStyle w:val="Heading6"/>
      </w:pPr>
      <w:r>
        <w:rPr/>
        <w:t xml:space="preserve">        VIGÉSIMA PRIMERA. CONFIDENCIALIDAD Y PROTECCIÓN DE DATOS PERSONALES.    </w:t>
      </w:r>
    </w:p>
    <w:p>
      <w:pPr/>
      <w:r>
        <w:rPr/>
        <w:t xml:space="preserve">    </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    </w:t>
      </w:r>
    </w:p>
    <w:p>
      <w:pPr/>
      <w:r>
        <w:rPr/>
        <w:t xml:space="preserve">    </w:t>
      </w:r>
    </w:p>
    <w:p>
      <w:pPr>
        <w:pStyle w:val="Heading6"/>
      </w:pPr>
      <w:r>
        <w:rPr/>
        <w:t xml:space="preserve">        VIGÉSIMA SEGUNDA. SUSPENSIÓN TEMPORAL DE LA PRESTACIÓN DE LOS SERVICIOS.    </w:t>
      </w:r>
    </w:p>
    <w:p>
      <w:pPr/>
      <w:r>
        <w:rPr/>
        <w:t xml:space="preserve">    </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    </w:t>
      </w:r>
    </w:p>
    <w:p>
      <w:pPr/>
      <w:r>
        <w:rPr/>
        <w:t xml:space="preserve">    </w:t>
      </w:r>
    </w:p>
    <w:p>
      <w:pPr>
        <w:pStyle w:val="Heading6"/>
      </w:pPr>
      <w:r>
        <w:rPr/>
        <w:t xml:space="preserve">        VIGÉSIMA TERCERA. TERMINACIÓN ANTICIPADA DEL CONTRATO    </w:t>
      </w:r>
    </w:p>
    <w:p>
      <w:pPr/>
      <w:r>
        <w:rPr/>
        <w:t xml:space="preserve">    </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    </w:t>
      </w:r>
    </w:p>
    <w:p>
      <w:pPr/>
      <w:r>
        <w:rPr/>
        <w:t xml:space="preserve">    </w:t>
      </w:r>
    </w:p>
    <w:p>
      <w:pPr>
        <w:pStyle w:val="Heading6"/>
      </w:pPr>
      <w:r>
        <w:rPr/>
        <w:t xml:space="preserve">        VIGÉSIMA CUARTA. RESCISIÓN    </w:t>
      </w:r>
    </w:p>
    <w:p>
      <w:pPr/>
      <w:r>
        <w:rPr/>
        <w:t xml:space="preserve">    </w:t>
      </w:r>
    </w:p>
    <w:p>
      <w:pPr/>
      <w:r>
        <w:rPr/>
        <w:t xml:space="preserve">        “LA DEPENDENCIA O ENTIDAD” PODRÁ INICIAR EN CUALQUIER MOMENTO EL PROCEDIMIENTO DE RESCISIÓN, CUANDO “EL        PROVEEDOR” INCURRA EN ALGUNA DE LAS SIGUIENTES CAUSALES:    </w:t>
      </w:r>
    </w:p>
    <w:p>
      <w:pPr/>
      <w:r>
        <w:rPr/>
        <w:t xml:space="preserve">    </w:t>
      </w:r>
    </w:p>
    <w:p>
      <w:pPr/>
      <w:r>
        <w:rPr/>
        <w:t xml:space="preserve">        </w:t>
      </w:r>
    </w:p>
    <w:p>
      <w:pPr>
        <w:numPr>
          <w:ilvl w:val="0"/>
          <w:numId w:val="3"/>
        </w:numPr>
      </w:pPr>
      <w:r>
        <w:rPr/>
        <w:t xml:space="preserve">            CONTRAVENIR LOS TÉRMINOS PACTADOS PARA LA PRESTACIÓN DE LOS SERVICIOS, ESTABLECIDOS EN EL            PRESENTE CONTRATO.        </w:t>
      </w:r>
    </w:p>
    <w:p>
      <w:pPr/>
      <w:r>
        <w:rPr/>
        <w:t xml:space="preserve">        </w:t>
      </w:r>
    </w:p>
    <w:p>
      <w:pPr>
        <w:numPr>
          <w:ilvl w:val="0"/>
          <w:numId w:val="3"/>
        </w:numPr>
      </w:pPr>
      <w:r>
        <w:rPr/>
        <w:t xml:space="preserve">            TRANSFERIR EN TODO O EN PARTE LAS OBLIGACIONES QUE DERIVEN DEL PRESENTE CONTRATO A UN TERCERO            AJENO A LA RELACIÓN CONTRACTUAL.        </w:t>
      </w:r>
    </w:p>
    <w:p>
      <w:pPr/>
      <w:r>
        <w:rPr/>
        <w:t xml:space="preserve">        </w:t>
      </w:r>
    </w:p>
    <w:p>
      <w:pPr>
        <w:numPr>
          <w:ilvl w:val="0"/>
          <w:numId w:val="3"/>
        </w:numPr>
      </w:pPr>
      <w:r>
        <w:rPr/>
        <w:t xml:space="preserve">            CEDER LOS DERECHOS DE COBRO DERIVADOS DEL CONTRATO, SIN CONTAR CON LA CONFORMIDAD PREVIA Y POR            ESCRITO DE “LA DEPENDENCIA O ENTIDAD”.        </w:t>
      </w:r>
    </w:p>
    <w:p>
      <w:pPr/>
      <w:r>
        <w:rPr/>
        <w:t xml:space="preserve">        </w:t>
      </w:r>
    </w:p>
    <w:p>
      <w:pPr>
        <w:numPr>
          <w:ilvl w:val="0"/>
          <w:numId w:val="3"/>
        </w:numPr>
      </w:pPr>
      <w:r>
        <w:rPr/>
        <w:t xml:space="preserve">            SUSPENDER TOTAL O PARCIALMENTE Y SIN CAUSA JUSTIFICADA LA PRESTACIÓN DE LOS SERVICIOS DEL            PRESENTE CONTRATO.        </w:t>
      </w:r>
    </w:p>
    <w:p>
      <w:pPr/>
      <w:r>
        <w:rPr/>
        <w:t xml:space="preserve">        </w:t>
      </w:r>
    </w:p>
    <w:p>
      <w:pPr>
        <w:numPr>
          <w:ilvl w:val="0"/>
          <w:numId w:val="3"/>
        </w:numPr>
      </w:pPr>
      <w:r>
        <w:rPr/>
        <w:t xml:space="preserve">            NO REALIZAR LA PRESTACIÓN DE LOS SERVICIOS EN TIEMPO Y FORMA CONFORME A LO ESTABLECIDO EN EL            PRESENTE CONTRATO Y SUS RESPECTIVOS ANEXOS.        </w:t>
      </w:r>
    </w:p>
    <w:p>
      <w:pPr/>
      <w:r>
        <w:rPr/>
        <w:t xml:space="preserve">        </w:t>
      </w:r>
    </w:p>
    <w:p>
      <w:pPr>
        <w:numPr>
          <w:ilvl w:val="0"/>
          <w:numId w:val="3"/>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3"/>
        </w:numPr>
      </w:pPr>
      <w:r>
        <w:rPr/>
        <w:t xml:space="preserve">            SER DECLARADO EN CONCURSO MERCANTIL, O POR CUALQUIER OTRA CAUSA DISTINTA O ANÁLOGA QUE AFECTE SU            PATRIMONIO.        </w:t>
      </w:r>
    </w:p>
    <w:p>
      <w:pPr/>
      <w:r>
        <w:rPr/>
        <w:t xml:space="preserve">        </w:t>
      </w:r>
    </w:p>
    <w:p>
      <w:pPr>
        <w:numPr>
          <w:ilvl w:val="0"/>
          <w:numId w:val="3"/>
        </w:numPr>
      </w:pPr>
      <w:r>
        <w:rPr/>
        <w:t xml:space="preserve">            EN CASO DE QUE COMPRUEBE LA FALSEDAD DE ALGUNA MANIFESTACIÓN, INFORMACIÓN O DOCUMENTACIÓN            PROPORCIONADA PARA EFECTO DEL PRESENTE CONTRATO;        </w:t>
      </w:r>
    </w:p>
    <w:p>
      <w:pPr/>
      <w:r>
        <w:rPr/>
        <w:t xml:space="preserve">        </w:t>
      </w:r>
    </w:p>
    <w:p>
      <w:pPr>
        <w:numPr>
          <w:ilvl w:val="0"/>
          <w:numId w:val="3"/>
        </w:numPr>
      </w:pPr>
      <w:r>
        <w:rPr/>
        <w:t xml:space="preserve">            NO ENTREGAR DENTRO DE LOS 10 (DIEZ) DÍAS NATURALES SIGUIENTES A LA FECHA DE FIRMA DEL PRESENTE            CONTRATO, LA GARANTÍA DE CUMPLIMIENTO DEL MISMO.        </w:t>
      </w:r>
    </w:p>
    <w:p>
      <w:pPr/>
      <w:r>
        <w:rPr/>
        <w:t xml:space="preserve">        </w:t>
      </w:r>
    </w:p>
    <w:p>
      <w:pPr>
        <w:numPr>
          <w:ilvl w:val="0"/>
          <w:numId w:val="3"/>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3"/>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3"/>
        </w:numPr>
      </w:pPr>
      <w:r>
        <w:rPr/>
        <w:t xml:space="preserve">            IMPEDIR EL DESEMPEÑO NORMAL DE LABORES DE “LA DEPENDENCIA O ENTIDAD”;        </w:t>
      </w:r>
    </w:p>
    <w:p>
      <w:pPr/>
      <w:r>
        <w:rPr/>
        <w:t xml:space="preserve">        </w:t>
      </w:r>
    </w:p>
    <w:p>
      <w:pPr>
        <w:numPr>
          <w:ilvl w:val="0"/>
          <w:numId w:val="3"/>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3"/>
        </w:numPr>
      </w:pPr>
      <w:r>
        <w:rPr/>
        <w:t xml:space="preserve">            INCUMPLIR CUALQUIER OBLIGACIÓN DISTINTA DE LAS ANTERIORES Y DERIVADAS DEL PRESENTE CONTRATO.        </w:t>
      </w:r>
    </w:p>
    <w:p>
      <w:pPr/>
      <w:r>
        <w:rPr/>
        <w:t xml:space="preserve">    </w:t>
      </w:r>
    </w:p>
    <w:p>
      <w:pPr/>
      <w:r>
        <w:rPr/>
        <w:t xml:space="preserve">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    </w:t>
      </w:r>
    </w:p>
    <w:p>
      <w:pPr/>
      <w:r>
        <w:rPr/>
        <w:t xml:space="preserve">    </w:t>
      </w:r>
    </w:p>
    <w:p>
      <w:pPr>
        <w:pStyle w:val="Heading6"/>
      </w:pPr>
      <w:r>
        <w:rPr/>
        <w:t xml:space="preserve">        VIGÉSIMA QUINTA. RELACIÓN Y EXCLUSIÓN LABORAL    </w:t>
      </w:r>
    </w:p>
    <w:p>
      <w:pPr/>
      <w:r>
        <w:rPr/>
        <w:t xml:space="preserve">    </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    </w:t>
      </w:r>
    </w:p>
    <w:p>
      <w:pPr/>
      <w:r>
        <w:rPr/>
        <w:t xml:space="preserve">    </w:t>
      </w:r>
    </w:p>
    <w:p>
      <w:pPr>
        <w:pStyle w:val="Heading6"/>
      </w:pPr>
      <w:r>
        <w:rPr/>
        <w:t xml:space="preserve">        VIGÉSIMA SEXTA. DISCREPANCIAS    </w:t>
      </w:r>
    </w:p>
    <w:p>
      <w:pPr/>
      <w:r>
        <w:rPr/>
        <w:t xml:space="preserve">    </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    </w:t>
      </w:r>
    </w:p>
    <w:p>
      <w:pPr/>
      <w:r>
        <w:rPr/>
        <w:t xml:space="preserve">    </w:t>
      </w:r>
    </w:p>
    <w:p>
      <w:pPr>
        <w:pStyle w:val="Heading6"/>
      </w:pPr>
      <w:r>
        <w:rPr/>
        <w:t xml:space="preserve">        VIGÉSIMA SÉPTIMA. CONCILIACIÓN.    </w:t>
      </w:r>
    </w:p>
    <w:p>
      <w:pPr/>
      <w:r>
        <w:rPr/>
        <w:t xml:space="preserve">    </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    </w:t>
      </w:r>
    </w:p>
    <w:p>
      <w:pPr/>
      <w:r>
        <w:rPr/>
        <w:t xml:space="preserve">    </w:t>
      </w:r>
    </w:p>
    <w:p>
      <w:pPr>
        <w:pStyle w:val="Heading6"/>
      </w:pPr>
      <w:r>
        <w:rPr/>
        <w:t xml:space="preserve">        VIGÉSIMA OCTAVA. DOMICILIOS    </w:t>
      </w:r>
    </w:p>
    <w:p>
      <w:pPr/>
      <w:r>
        <w:rPr/>
        <w:t xml:space="preserve">    </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w:t>
      </w:r>
    </w:p>
    <w:p>
      <w:pPr/>
      <w:r>
        <w:rPr/>
        <w:t xml:space="preserve">    </w:t>
      </w:r>
    </w:p>
    <w:p>
      <w:pPr>
        <w:pStyle w:val="Heading6"/>
      </w:pPr>
      <w:r>
        <w:rPr/>
        <w:t xml:space="preserve">        VIGÉSIMA NOVENA. LEGISLACIÓN APLICABLE    </w:t>
      </w:r>
    </w:p>
    <w:p>
      <w:pPr/>
      <w:r>
        <w:rPr/>
        <w:t xml:space="preserve">    </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    </w:t>
      </w:r>
    </w:p>
    <w:p>
      <w:pPr/>
      <w:r>
        <w:rPr/>
        <w:t xml:space="preserve">    </w:t>
      </w:r>
    </w:p>
    <w:p>
      <w:pPr>
        <w:pStyle w:val="Heading6"/>
      </w:pPr>
      <w:r>
        <w:rPr/>
        <w:t xml:space="preserve">        TRIGÉSIMA. JURISDICCIÓN    </w:t>
      </w:r>
    </w:p>
    <w:p>
      <w:pPr/>
      <w:r>
        <w:rPr/>
        <w:t xml:space="preserve">    </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    </w:t>
      </w:r>
    </w:p>
    <w:p>
      <w:pPr/>
      <w:r>
        <w:rPr/>
        <w:t xml:space="preserve">    </w:t>
      </w:r>
    </w:p>
    <w:p>
      <w:pPr/>
      <w:r>
        <w:rPr/>
        <w:t xml:space="preserve">        </w:t>
      </w:r>
    </w:p>
    <w:p>
      <w:pPr>
        <w:pStyle w:val="Heading5"/>
      </w:pPr>
      <w:r>
        <w:rPr/>
        <w:t xml:space="preserve">            FIRMANTES O SUSCRIPCIÓN.        </w:t>
      </w:r>
    </w:p>
    <w:p>
      <w:pPr/>
      <w:r>
        <w:rPr/>
        <w:t xml:space="preserve">    </w:t>
      </w:r>
    </w:p>
    <w:p>
      <w:pPr/>
      <w:r>
        <w:rPr/>
        <w:t xml:space="preserve">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    </w:t>
      </w:r>
    </w:p>
    <w:p>
      <w:pPr/>
      <w:r>
        <w:rPr/>
        <w:t xml:space="preserve">    </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p>
      <w:pPr/>
      <w:r>
        <w:rPr/>
        <w:t xml:space="preserve">    </w:t>
      </w:r>
    </w:p>
    <w:p>
      <w:pPr/>
      <w:r>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r>
        <w:rPr/>
        <w:t xml:space="preserve">    </w:t>
      </w:r>
    </w:p>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p>
      <w:pPr/>
      <w:r>
        <w:rPr/>
        <w:t xml:space="preserve">    </w:t>
      </w:r>
    </w:p>
    <w:p>
      <w:pPr/>
      <w:r>
        <w:rPr/>
        <w:t xml:space="preserve">        </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                        </w:t>
            </w:r>
          </w:p>
          <w:p>
            <w:pPr/>
            <w:r>
              <w:rPr/>
              <w:t xml:space="preserve">                    </w:t>
            </w:r>
          </w:p>
        </w:tc>
        <w:tc>
          <w:tcPr>
            <w:noWrap/>
          </w:tcPr>
          <w:p>
            <w:pPr/>
            <w:r>
              <w:rPr/>
              <w:t xml:space="preserve">123</w:t>
            </w:r>
          </w:p>
        </w:tc>
      </w:tr>
    </w:tbl>
    <w:p>
      <w:pPr/>
      <w:r>
        <w:rPr/>
        <w:t xml:space="preserve">    </w:t>
      </w:r>
    </w:p>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0A6F64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CFBA008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03D3A1B7"/>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2024-01-05T16:15:19+00:00</dcterms:created>
  <dcterms:modified xsi:type="dcterms:W3CDTF">2024-01-05T16:15:19+00:00</dcterms:modified>
</cp:coreProperties>
</file>

<file path=docProps/custom.xml><?xml version="1.0" encoding="utf-8"?>
<Properties xmlns="http://schemas.openxmlformats.org/officeDocument/2006/custom-properties" xmlns:vt="http://schemas.openxmlformats.org/officeDocument/2006/docPropsVTypes"/>
</file>