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rFonts w:ascii="Montserrat" w:hAnsi="Montserrat" w:eastAsia="Montserrat" w:cs="Montserrat"/>
          <w:sz w:val="17.85"/>
          <w:szCs w:val="17.85"/>
        </w:rPr>
        <w:t xml:space="preserve">    CONTRATO</w:t>
      </w:r>
      <w:r>
        <w:rPr>
          <w:rFonts w:ascii="Montserrat" w:hAnsi="Montserrat" w:eastAsia="Montserrat" w:cs="Montserrat"/>
          <w:sz w:val="17.85"/>
          <w:szCs w:val="17.85"/>
          <w:b w:val="1"/>
          <w:bCs w:val="1"/>
        </w:rPr>
        <w:t xml:space="preserve"> CERRADO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 </w:t>
      </w:r>
      <w:r>
        <w:rPr>
          <w:rFonts w:ascii="Montserrat" w:hAnsi="Montserrat" w:eastAsia="Montserrat" w:cs="Montserrat"/>
          <w:sz w:val="17.85"/>
          <w:szCs w:val="17.85"/>
          <w:b w:val="1"/>
          <w:bCs w:val="1"/>
        </w:rPr>
        <w:t xml:space="preserve">1</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A QUIENES DE MANERA CONJUNTA SE LESDENOMINARÁ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123</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4</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12</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declara que (TRATÁNDOSE DE PERSONA FÍSICA):</w:t>
      </w:r>
    </w:p>
    <w:p>
      <w:pPr/>
      <w:r>
        <w:rPr/>
        <w:t xml:space="preserve">II.1. ES UNA PERSONA FÍSICA, DE NACIONALIDAD </w:t>
      </w:r>
      <w:r>
        <w:rPr/>
        <w:t xml:space="preserve"> LO QUE ACREDITA CON , EXPEDIDA POR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123</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b w:val="1"/>
          <w:bCs w:val="1"/>
        </w:rPr>
        <w:t xml:space="preserve">4124</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rPr>
        <w:t xml:space="preserve">“LA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noWrap/>
          </w:tcPr>
          <w:p>
            <w:pPr/>
          </w:p>
        </w:tc>
        <w:tc>
          <w:tcPr>
            <w:noWrap/>
          </w:tcPr>
          <w:p>
            <w:pPr/>
            <w:r>
              <w:rPr/>
              <w:t xml:space="preserve">Ingresa Monto sin Impuesto</w:t>
            </w:r>
          </w:p>
        </w:tc>
        <w:tc>
          <w:tcPr>
            <w:noWrap/>
          </w:tcPr>
          <w:p>
            <w:pPr/>
            <w:r>
              <w:rPr/>
              <w:t xml:space="preserve">Ingresa Monto con Impuesto</w:t>
            </w:r>
          </w:p>
        </w:tc>
      </w:tr>
      <w:tr>
        <w:trPr/>
        <w:tc>
          <w:tcPr>
            <w:noWrap/>
          </w:tcPr>
          <w:p>
            <w:pPr/>
            <w:r>
              <w:rPr/>
              <w:t xml:space="preserve">Total</w:t>
            </w:r>
          </w:p>
        </w:tc>
        <w:tc>
          <w:tcPr>
            <w:noWrap/>
          </w:tcPr>
          <w:p>
            <w:pPr/>
            <w:r>
              <w:rPr/>
              <w:t xml:space="preserve">$</w:t>
            </w:r>
          </w:p>
        </w:tc>
        <w:tc>
          <w:tcPr>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noWrap/>
          </w:tcPr>
          <w:p>
            <w:pPr/>
            <w:r>
              <w:rPr/>
              <w:t xml:space="preserve">14403</w:t>
            </w:r>
          </w:p>
        </w:tc>
        <w:tc>
          <w:tcPr>
            <w:noWrap/>
          </w:tcPr>
          <w:p>
            <w:pPr/>
            <w:r>
              <w:rPr/>
              <w:t xml:space="preserve">14403001</w:t>
            </w:r>
          </w:p>
        </w:tc>
        <w:tc>
          <w:tcPr>
            <w:noWrap/>
          </w:tcPr>
          <w:p>
            <w:pPr/>
            <w:r>
              <w:rPr/>
              <w:t xml:space="preserve">Seguro de gastos médicos del personal civil</w:t>
            </w:r>
          </w:p>
        </w:tc>
        <w:tc>
          <w:tcPr>
            <w:noWrap/>
          </w:tcPr>
          <w:p>
            <w:pPr/>
            <w:r>
              <w:rPr/>
              <w:t xml:space="preserve">1552.00</w:t>
            </w:r>
          </w:p>
        </w:tc>
        <w:tc>
          <w:tcPr>
            <w:noWrap/>
          </w:tcPr>
          <w:p>
            <w:pPr/>
            <w:r>
              <w:rPr/>
              <w:t xml:space="preserve">Pieza</w:t>
            </w:r>
          </w:p>
        </w:tc>
        <w:tc>
          <w:tcPr>
            <w:noWrap/>
          </w:tcPr>
          <w:p>
            <w:pPr/>
            <w:r>
              <w:rPr/>
              <w:t xml:space="preserve">$511565454.00</w:t>
            </w:r>
          </w:p>
        </w:tc>
        <w:tc>
          <w:tcPr>
            <w:noWrap/>
          </w:tcPr>
          <w:p>
            <w:pPr/>
            <w:r>
              <w:rPr/>
              <w:t xml:space="preserve">$793949584608.00</w:t>
            </w:r>
          </w:p>
        </w:tc>
      </w:tr>
      <w:tr>
        <w:trPr/>
        <w:tc>
          <w:tcPr>
            <w:noWrap/>
          </w:tcPr>
          <w:p>
            <w:pPr/>
            <w:r>
              <w:rPr/>
              <w:t xml:space="preserve">21201</w:t>
            </w:r>
          </w:p>
        </w:tc>
        <w:tc>
          <w:tcPr>
            <w:noWrap/>
          </w:tcPr>
          <w:p>
            <w:pPr/>
            <w:r>
              <w:rPr/>
              <w:t xml:space="preserve">21200003</w:t>
            </w:r>
          </w:p>
        </w:tc>
        <w:tc>
          <w:tcPr>
            <w:noWrap/>
          </w:tcPr>
          <w:p>
            <w:pPr/>
            <w:r>
              <w:rPr/>
              <w:t xml:space="preserve">Aplicador tinta (rodillos)</w:t>
            </w:r>
          </w:p>
        </w:tc>
        <w:tc>
          <w:tcPr>
            <w:noWrap/>
          </w:tcPr>
          <w:p>
            <w:pPr/>
            <w:r>
              <w:rPr/>
              <w:t xml:space="preserve">655.00</w:t>
            </w:r>
          </w:p>
        </w:tc>
        <w:tc>
          <w:tcPr>
            <w:noWrap/>
          </w:tcPr>
          <w:p>
            <w:pPr/>
            <w:r>
              <w:rPr/>
              <w:t xml:space="preserve">Servicio</w:t>
            </w:r>
          </w:p>
        </w:tc>
        <w:tc>
          <w:tcPr>
            <w:noWrap/>
          </w:tcPr>
          <w:p>
            <w:pPr/>
            <w:r>
              <w:rPr/>
              <w:t xml:space="preserve">$54.00</w:t>
            </w:r>
          </w:p>
        </w:tc>
        <w:tc>
          <w:tcPr>
            <w:noWrap/>
          </w:tcPr>
          <w:p>
            <w:pPr/>
            <w:r>
              <w:rPr/>
              <w:t xml:space="preserve">$35370.00</w:t>
            </w:r>
          </w:p>
        </w:tc>
      </w:tr>
      <w:tr>
        <w:trPr/>
        <w:tc>
          <w:tcPr>
            <w:noWrap/>
          </w:tcPr>
          <w:p>
            <w:pPr/>
            <w:r>
              <w:rPr/>
              <w:t xml:space="preserve">21601</w:t>
            </w:r>
          </w:p>
        </w:tc>
        <w:tc>
          <w:tcPr>
            <w:noWrap/>
          </w:tcPr>
          <w:p>
            <w:pPr/>
            <w:r>
              <w:rPr/>
              <w:t xml:space="preserve">21600007</w:t>
            </w:r>
          </w:p>
        </w:tc>
        <w:tc>
          <w:tcPr>
            <w:noWrap/>
          </w:tcPr>
          <w:p>
            <w:pPr/>
            <w:r>
              <w:rPr/>
              <w:t xml:space="preserve">Burro de planchar</w:t>
            </w:r>
          </w:p>
        </w:tc>
        <w:tc>
          <w:tcPr>
            <w:noWrap/>
          </w:tcPr>
          <w:p>
            <w:pPr/>
            <w:r>
              <w:rPr/>
              <w:t xml:space="preserve">1654.00</w:t>
            </w:r>
          </w:p>
        </w:tc>
        <w:tc>
          <w:tcPr>
            <w:noWrap/>
          </w:tcPr>
          <w:p>
            <w:pPr/>
            <w:r>
              <w:rPr/>
              <w:t xml:space="preserve">Pieza</w:t>
            </w:r>
          </w:p>
        </w:tc>
        <w:tc>
          <w:tcPr>
            <w:noWrap/>
          </w:tcPr>
          <w:p>
            <w:pPr/>
            <w:r>
              <w:rPr/>
              <w:t xml:space="preserve">$6541651.00</w:t>
            </w:r>
          </w:p>
        </w:tc>
        <w:tc>
          <w:tcPr>
            <w:noWrap/>
          </w:tcPr>
          <w:p>
            <w:pPr/>
            <w:r>
              <w:rPr/>
              <w:t xml:space="preserve">$10819890754.00</w:t>
            </w:r>
          </w:p>
        </w:tc>
      </w:tr>
      <w:tr>
        <w:trPr/>
        <w:tc>
          <w:tcPr>
            <w:noWrap/>
          </w:tcPr>
          <w:p>
            <w:pPr/>
            <w:r>
              <w:rPr/>
              <w:t xml:space="preserve">22201</w:t>
            </w:r>
          </w:p>
        </w:tc>
        <w:tc>
          <w:tcPr>
            <w:noWrap/>
          </w:tcPr>
          <w:p>
            <w:pPr/>
            <w:r>
              <w:rPr/>
              <w:t xml:space="preserve">22200007</w:t>
            </w:r>
          </w:p>
        </w:tc>
        <w:tc>
          <w:tcPr>
            <w:noWrap/>
          </w:tcPr>
          <w:p>
            <w:pPr/>
            <w:r>
              <w:rPr/>
              <w:t xml:space="preserve">Carne de mular preparada y/o enlatada</w:t>
            </w:r>
          </w:p>
        </w:tc>
        <w:tc>
          <w:tcPr>
            <w:noWrap/>
          </w:tcPr>
          <w:p>
            <w:pPr/>
            <w:r>
              <w:rPr/>
              <w:t xml:space="preserve">546.00</w:t>
            </w:r>
          </w:p>
        </w:tc>
        <w:tc>
          <w:tcPr>
            <w:noWrap/>
          </w:tcPr>
          <w:p>
            <w:pPr/>
            <w:r>
              <w:rPr/>
              <w:t xml:space="preserve">Litro</w:t>
            </w:r>
          </w:p>
        </w:tc>
        <w:tc>
          <w:tcPr>
            <w:noWrap/>
          </w:tcPr>
          <w:p>
            <w:pPr/>
            <w:r>
              <w:rPr/>
              <w:t xml:space="preserve">$6151.00</w:t>
            </w:r>
          </w:p>
        </w:tc>
        <w:tc>
          <w:tcPr>
            <w:noWrap/>
          </w:tcPr>
          <w:p>
            <w:pPr/>
            <w:r>
              <w:rPr/>
              <w:t xml:space="preserve">$3358446.00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SERVICIO, POR LO QUE “EL PROVEEDOR” NO PODRÁ AGREGAR NINGÚN COSTO EXTRA Y LOS PRECIOS SERÁN INALTERABLES DURANTE LA VIGENCIA DEL PRESENTE CONTRATO.</w:t>
      </w:r>
    </w:p>
    <w:p>
      <w:pPr>
        <w:jc w:val="both"/>
      </w:pPr>
      <w:r>
        <w:rPr>
          <w:rFonts w:ascii="Montserrat" w:hAnsi="Montserrat" w:eastAsia="Montserrat" w:cs="Montserrat"/>
          <w:sz w:val="17.85"/>
          <w:szCs w:val="17.85"/>
        </w:rPr>
        <w:t xml:space="preserve">“LA DEPENDENCIA” PAGARÁ A “EL PROVEEDOR” COMO CONTRAPRESTACIÓN POR LOS SERVICIOS OBJETO DE ESTECONTRATO,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w:t>
      </w:r>
    </w:p>
    <w:p>
      <w:pPr>
        <w:pStyle w:val="Heading6"/>
      </w:pPr>
      <w:r>
        <w:rPr/>
        <w:t xml:space="preserve">TERCERA. ANTICIPO</w:t>
      </w:r>
    </w:p>
    <w:p>
      <w:pPr>
        <w:jc w:val="both"/>
      </w:pPr>
      <w:r>
        <w:rPr>
          <w:rFonts w:ascii="Montserrat" w:hAnsi="Montserrat" w:eastAsia="Montserrat" w:cs="Montserrat"/>
          <w:sz w:val="17.85"/>
          <w:szCs w:val="17.85"/>
        </w:rPr>
        <w:t xml:space="preserve">SE OTORGARÁN A “EL PROVEEDOR”, UN ANTICIPO SOBRE EL MONTO TOTAL DEL CONTRATO.</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SERVICIOS EFECTIVAMENTE PRESTADOS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SERVICIOS PRESTADOS, LOS PRECIOS UNITARIOS, SE VERIFIQUE SU AUTENTICIDAD, NO EXISTAN ACLARACIONES AL IMPORTE Y VAYA ACOMPAÑADA CON LA DOCUMENTACIÓN SOPORTEDE LA PRESTACIÓN DE LOS SERVICIOS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LA PRESTACIÓN DE LOS SERVICIOS,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LA PRESTACIÓN DE LOS SERVICIOS RECIBIDOS,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DE LA PRESTACIÓN DE LOS SERVICIOS.</w:t>
      </w:r>
    </w:p>
    <w:p>
      <w:pPr>
        <w:jc w:val="both"/>
      </w:pPr>
      <w:r>
        <w:rPr>
          <w:rFonts w:ascii="Montserrat" w:hAnsi="Montserrat" w:eastAsia="Montserrat" w:cs="Montserrat"/>
          <w:sz w:val="17.85"/>
          <w:szCs w:val="17.85"/>
        </w:rPr>
        <w:t xml:space="preserve">A PRESTACIÓN DE LOS SERVICIOS, SE REALIZARÁ CONFORME A LOS PLAZOS, CONDICIONES Y ENTREGABLES ESTABLECIDOS POR “LA ENTIDAD”.</w:t>
      </w:r>
    </w:p>
    <w:p>
      <w:pPr>
        <w:jc w:val="both"/>
      </w:pPr>
      <w:r>
        <w:rPr>
          <w:rFonts w:ascii="Montserrat" w:hAnsi="Montserrat" w:eastAsia="Montserrat" w:cs="Montserrat"/>
          <w:sz w:val="17.85"/>
          <w:szCs w:val="17.85"/>
        </w:rPr>
        <w:t xml:space="preserve">LOS SERVICIOS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123.</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DEL SERVICIO,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SERVICIOS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CON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A ENTREGAR AL INICIO DE LA PRESTACIÓN DEL SERVICIO,UNA GARANTÍA POR LA CALIDAD DE LOS SERVICIOS PRESTADOS, POR  MESES, LACUAL SE CONSTITUIRÁ GARANTÍA SOBRE LA CALIDAD DE LOS SERVICIOS, PUDIENDO SER MEDIANTE LA PÓLIZA DEGARANTÍA, EN TÉRMINOS DE LOS ARTÍCULOS 77 Y 78 DE LA LEY FEDERAL DE PROTECCIÓN AL CONSUMIDOR.</w:t>
      </w:r>
    </w:p>
    <w:p>
      <w:pPr>
        <w:pStyle w:val="Heading6"/>
      </w:pPr>
      <w:r>
        <w:rPr>
          <w:rFonts w:ascii="Montserrat" w:hAnsi="Montserrat" w:eastAsia="Montserrat" w:cs="Montserrat"/>
          <w:sz w:val="17.85"/>
          <w:szCs w:val="17.85"/>
        </w:rPr>
        <w:t xml:space="preserve">NOVENA. GARANTÍA</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ENTREGARÁ A “LA DEPENDENCIA”, PREVIAMENTE A LA ENTREGA DEL ANTICIPO UNA GARANTÍA CONSTITUIDA POR LA TOTALIDAD DEL MONTO DEL ANTICIPO RECIBIDO.</w:t>
      </w:r>
    </w:p>
    <w:p>
      <w:pPr>
        <w:jc w:val="both"/>
      </w:pPr>
      <w:r>
        <w:rPr>
          <w:rFonts w:ascii="Montserrat" w:hAnsi="Montserrat" w:eastAsia="Montserrat" w:cs="Montserrat"/>
          <w:sz w:val="17.85"/>
          <w:szCs w:val="17.85"/>
        </w:rPr>
        <w:t xml:space="preserve">EL OTORGAMIENTO DE ANTICIPO, DEBERÁ GARANTIZARSE EN LOS TÉRMINOS DE LOS ARTÍCULOS 48, DE LA “LAASSP”; 81, PÁRRAFO PRIMERO Y FRACCIÓN V, DE SU REGLAMENTO.</w:t>
      </w:r>
    </w:p>
    <w:p>
      <w:pPr>
        <w:jc w:val="both"/>
      </w:pPr>
      <w:r>
        <w:rPr>
          <w:rFonts w:ascii="Montserrat" w:hAnsi="Montserrat" w:eastAsia="Montserrat" w:cs="Montserrat"/>
          <w:sz w:val="17.85"/>
          <w:szCs w:val="17.85"/>
        </w:rPr>
        <w:t xml:space="preserve">SI LAS DISPOSICIONES JURÍDICAS APLICABLES LO PERMITEN, LA ENTREGA DE LA GARANTÍA DE ANTICIPO PODRÁ REALIZARSE DE MANERA ELECTRÓNICA.</w:t>
      </w:r>
    </w:p>
    <w:p>
      <w:pPr>
        <w:jc w:val="both"/>
      </w:pPr>
      <w:r>
        <w:rPr>
          <w:rFonts w:ascii="Montserrat" w:hAnsi="Montserrat" w:eastAsia="Montserrat" w:cs="Montserrat"/>
          <w:sz w:val="17.85"/>
          <w:szCs w:val="17.85"/>
        </w:rPr>
        <w:t xml:space="preserve">UNA VEZ AMORTIZADO EL CIEN POR CIENTO DEL ANTICIPO, EL SERVIDOR PÚBLICO FACULTADO POR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PROCEDERÁ INMEDIATAMENTE A EXTENDER LA CONSTANCIA DE CUMPLIMIENTO DE DICHA OBLIGACIÓN CONTRACTUAL Y DARÁ INICIO A LOS TRÁMITES PARA LA CANCELACIÓN DE LA GARANTÍA, LO QUE COMUNICARÁ A “EL PROVEEDOR”.</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SERVICIOSPRESTADOS,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SERVICIOS PRESTADOS,SIEMPRE Y CUANDO “LA DEPENDENCIA O ENTIDAD” NO HAYA IDENTIFICADO DEFECTOS O VICIOS OCULTOS EN LA CALIDADDE LOS SERVICIOS PRESTADOS,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PRESTAR LOS SERVICIOS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PRESTACIÓN DE LOS SERVICIOS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numPr>
          <w:ilvl w:val="0"/>
          <w:numId w:val="2"/>
        </w:numPr>
      </w:pPr>
      <w:r>
        <w:rPr>
          <w:rFonts w:ascii="Montserrat" w:hAnsi="Montserrat" w:eastAsia="Montserrat" w:cs="Montserrat"/>
          <w:sz w:val="17.85"/>
          <w:szCs w:val="17.85"/>
        </w:rPr>
        <w:t xml:space="preserve">EXTENDER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POR CONDUCTO DEL SERVIDOR PÚBLICO FACULTADO, LA CONSTANCIA DECUMPLIMIENTO DE OBLIGACIONES CONTRACTUALES INMEDIATAMENTE QUE SE CUMPLAN ÉSTAS A SATISFACCIÓNEXPRESA DE DICHO SERVIDOR PÚBLICO PARA QUE SE DÉ TRÁMITE A LA CANCELACIÓN DE LA GARANTÍA DECUMPLIMIENTO DEL PRESENTE CONTRATO.</w:t>
      </w:r>
    </w:p>
    <w:p>
      <w:pPr>
        <w:pStyle w:val="Heading6"/>
      </w:pPr>
      <w:r>
        <w:rPr/>
        <w:t xml:space="preserve">DÉCIMA SEGUNDA. ADMINISTRACIÓN, VERIFICACIÓN, SUPERVISIÓN Y ACEPTACIÓN DE LOS SERVICIOS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CON RFC</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SERVICIOS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SERVICIOS,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SERVICIOS QUEINCUMPLAN DE MANERA PARCIAL O DEFICIENTE LAS ESPECIFICACIONES ESTABLECIDAS EN ESTE CONTRATO Y EN LOSANEXOS RESPECTIVOS, SIN PERJUICIO DE LA APLICACIÓN DE LAS DEDUCCIONES AL PAGO QUE PROCEDAN, Y REPOSICIÓNDEL SERVICIO,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SERVICIOS,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SERVICIOS,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SERVICIOS NO PRESTADOS,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SERVICIOS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SERVICIOS,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SERVICIOS PRESTADOS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PRESTACIÓN DEL SERVICIO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E INSUMOS NECESARIOS PARA LAPRESTACIÓN DEL SERVICIO,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PRESTACIÓN DE LOS SERVICIOS,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PRESTACIÓN DE LOS SERVICIOS.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PRESTACIÓN DE LOSSERVICIOS,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SERVICIOS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SERVICIOS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SERVICIOS PRESTADOS,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PRESTACIÓN DE LOS SERVICIOS,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PRESTACIÓN DE LOS SERVICIOS DELPRESENTE CONTRATO.</w:t>
      </w:r>
    </w:p>
    <w:p>
      <w:pPr>
        <w:numPr>
          <w:ilvl w:val="0"/>
          <w:numId w:val="3"/>
        </w:numPr>
      </w:pPr>
      <w:r>
        <w:rPr>
          <w:rFonts w:ascii="Montserrat" w:hAnsi="Montserrat" w:eastAsia="Montserrat" w:cs="Montserrat"/>
          <w:sz w:val="17.85"/>
          <w:szCs w:val="17.85"/>
        </w:rPr>
        <w:t xml:space="preserve">NO REALIZAR LA PRESTACIÓN DE LOS SERVICIOS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LOSSERVICIOS,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SERVICIOS,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PRESTACIÓN DEL SERVICIO,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SERVICIOS.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PRESTACIÓN DE LOS SERVICIOS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p>
        </w:tc>
        <w:tc>
          <w:tcPr>
            <w:noWrap/>
          </w:tcPr>
          <w:p>
            <w:pP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p>
          <w:p>
            <w:pPr/>
            <w:r>
              <w:rPr/>
              <w:t xml:space="preserve">1</w:t>
            </w:r>
          </w:p>
        </w:tc>
        <w:tc>
          <w:tcPr>
            <w:noWrap/>
          </w:tcPr>
          <w:p>
            <w:pPr/>
            <w:r>
              <w:rPr/>
              <w:t xml:space="preserve">123</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 VIGENCIA: 123.        </w:t>
    </w:r>
  </w:p>
  <w:p>
    <w:pPr>
      <w:jc w:val="left"/>
    </w:pPr>
    <w:r>
      <w:pict>
        <v:shape type="#_x0000_t75" stroked="f" style="width:10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B384384"/>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6EC511C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5C84D07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2024-01-08T15:58:36+00:00</dcterms:created>
  <dcterms:modified xsi:type="dcterms:W3CDTF">2024-01-08T15:58:36+00:00</dcterms:modified>
</cp:coreProperties>
</file>

<file path=docProps/custom.xml><?xml version="1.0" encoding="utf-8"?>
<Properties xmlns="http://schemas.openxmlformats.org/officeDocument/2006/custom-properties" xmlns:vt="http://schemas.openxmlformats.org/officeDocument/2006/docPropsVTypes"/>
</file>