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Consumo y Proyecciones 2023</w:t>
      </w:r>
    </w:p>
    <w:p>
      <w:pPr>
        <w:pStyle w:val="Heading2"/>
      </w:pPr>
      <w:r>
        <w:t>Resultados para el Año 2023</w:t>
      </w:r>
    </w:p>
    <w:p>
      <w:r>
        <w:t>La siguiente tabla muestra el promedio mensual de consumo para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Departamento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AGENCIA ROLDOS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1.792</w:t>
            </w:r>
          </w:p>
        </w:tc>
        <w:tc>
          <w:tcPr>
            <w:tcW w:type="dxa" w:w="1440"/>
          </w:tcPr>
          <w:p>
            <w:r>
              <w:t>304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FABRICA CREDITOS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844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1.353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3.162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 ROLDÓS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ASESOR COMERCIAL</w:t>
            </w:r>
          </w:p>
        </w:tc>
        <w:tc>
          <w:tcPr>
            <w:tcW w:type="dxa" w:w="1440"/>
          </w:tcPr>
          <w:p>
            <w:r>
              <w:t>2.121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2.628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934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AREA ADMINISTRATIVA</w:t>
            </w:r>
          </w:p>
        </w:tc>
        <w:tc>
          <w:tcPr>
            <w:tcW w:type="dxa" w:w="1440"/>
          </w:tcPr>
          <w:p>
            <w:r>
              <w:t>1.180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5.141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1.034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DATACENTER BACKUP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FABRICA DE CREDITOS</w:t>
            </w:r>
          </w:p>
        </w:tc>
        <w:tc>
          <w:tcPr>
            <w:tcW w:type="dxa" w:w="1440"/>
          </w:tcPr>
          <w:p>
            <w:r>
              <w:t>1.258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IMPRESORA DE COLOR 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3.955</w:t>
            </w:r>
          </w:p>
        </w:tc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2.176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1.060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JEFATURA DE AGENCIA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3.752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3"/>
      </w:pPr>
      <w:r>
        <w:t>Proyecciones a Futuro (Basado en 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38.910</w:t>
            </w:r>
          </w:p>
        </w:tc>
        <w:tc>
          <w:tcPr>
            <w:tcW w:type="dxa" w:w="2880"/>
          </w:tcPr>
          <w:p>
            <w:r>
              <w:t>39.257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5.320</w:t>
            </w:r>
          </w:p>
        </w:tc>
        <w:tc>
          <w:tcPr>
            <w:tcW w:type="dxa" w:w="2880"/>
          </w:tcPr>
          <w:p>
            <w:r>
              <w:t>5.568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