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100" w:before="600"/>
        <w:jc w:val="center"/>
      </w:pPr>
      <w:r>
        <w:rPr>
          <w:rFonts w:ascii="Calibri" w:cs="Calibri" w:eastAsia="Calibri" w:hAnsi="Calibri"/>
          <w:b/>
          <w:bCs/>
          <w:color w:val="4F46E5"/>
          <w:sz w:val="52"/>
          <w:szCs w:val="52"/>
        </w:rPr>
        <w:t xml:space="preserve">ELEVATE LEARNING WITH AI</w:t>
      </w:r>
    </w:p>
    <w:p>
      <w:pPr>
        <w:spacing w:after="200"/>
        <w:jc w:val="center"/>
      </w:pPr>
      <w:r>
        <w:rPr>
          <w:rFonts w:ascii="Calibri" w:cs="Calibri" w:eastAsia="Calibri" w:hAnsi="Calibri"/>
          <w:color w:val="94A3B8"/>
          <w:sz w:val="28"/>
          <w:szCs w:val="28"/>
        </w:rPr>
        <w:t xml:space="preserve">Transforming Institutional Learning Through Intelligent Collaboration</w:t>
      </w:r>
    </w:p>
    <w:p>
      <w:pPr>
        <w:spacing w:after="600"/>
        <w:jc w:val="center"/>
      </w:pPr>
      <w:r>
        <w:rPr>
          <w:rFonts w:ascii="Calibri" w:cs="Calibri" w:eastAsia="Calibri" w:hAnsi="Calibri"/>
          <w:color w:val="7C3AED"/>
          <w:sz w:val="24"/>
          <w:szCs w:val="24"/>
        </w:rPr>
        <w:t xml:space="preserve">Executive Brief  |  2026</w:t>
      </w:r>
    </w:p>
    <w:p>
      <w:pPr>
        <w:pStyle w:val="Heading1"/>
        <w:spacing w:after="100" w:before="300"/>
      </w:pPr>
      <w:r>
        <w:rPr>
          <w:rFonts w:ascii="Calibri" w:cs="Calibri" w:eastAsia="Calibri" w:hAnsi="Calibri"/>
          <w:b/>
          <w:bCs/>
          <w:color w:val="4F46E5"/>
        </w:rPr>
        <w:t xml:space="preserve">Executive Summary</w:t>
      </w:r>
    </w:p>
    <w:p>
      <w:pPr>
        <w:spacing w:after="120"/>
      </w:pPr>
      <w:r>
        <w:rPr>
          <w:rFonts w:ascii="Calibri" w:cs="Calibri" w:eastAsia="Calibri" w:hAnsi="Calibri"/>
          <w:color w:val="333333"/>
          <w:sz w:val="22"/>
          <w:szCs w:val="22"/>
        </w:rPr>
        <w:t xml:space="preserve">Higher education is at an inflection point. Institutions face mounting pressure from declining student outcomes, rising operational costs, inconsistent assessment practices, and a generation of learners who have already adopted AI tools without institutional guidance. The question is no longer whether AI will reshape education — it is whether institutions will lead that transformation or be disrupted by it.</w:t>
      </w:r>
    </w:p>
    <w:p>
      <w:pPr>
        <w:spacing w:after="120"/>
      </w:pPr>
      <w:r>
        <w:rPr>
          <w:rFonts w:ascii="Calibri" w:cs="Calibri" w:eastAsia="Calibri" w:hAnsi="Calibri"/>
          <w:color w:val="333333"/>
          <w:sz w:val="22"/>
          <w:szCs w:val="22"/>
        </w:rPr>
        <w:t xml:space="preserve">Elevate Learning with AI is a purpose-built SaaS platform that embeds artificial intelligence directly into the learning process — not as an answer machine, but as an intelligent collaborator that teaches students how to think, not what to think. It provides institutions with real-time visibility into student learning behaviors, automates the most time-consuming aspects of assessment, and creates a defensible framework for AI-assisted learning that preserves academic integrity.</w:t>
      </w:r>
    </w:p>
    <w:p>
      <w:pPr>
        <w:spacing w:after="120"/>
      </w:pPr>
      <w:r>
        <w:rPr>
          <w:rFonts w:ascii="Calibri" w:cs="Calibri" w:eastAsia="Calibri" w:hAnsi="Calibri"/>
          <w:color w:val="333333"/>
          <w:sz w:val="22"/>
          <w:szCs w:val="22"/>
        </w:rPr>
        <w:t xml:space="preserve">The result: students learn more deeply, instructors reclaim time for high-impact teaching, and institutions gain a measurable, auditable system that demonstrates learning effectiveness to accreditors, boards, and stakeholders.</w:t>
      </w:r>
    </w:p>
    <w:p>
      <w:pPr>
        <w:pStyle w:val="Heading1"/>
        <w:spacing w:after="100" w:before="300"/>
      </w:pPr>
      <w:r>
        <w:rPr>
          <w:rFonts w:ascii="Calibri" w:cs="Calibri" w:eastAsia="Calibri" w:hAnsi="Calibri"/>
          <w:b/>
          <w:bCs/>
          <w:color w:val="4F46E5"/>
        </w:rPr>
        <w:t xml:space="preserve">The Problem: What Current eLearning Gets Wrong</w:t>
      </w:r>
    </w:p>
    <w:p>
      <w:pPr>
        <w:pStyle w:val="Heading2"/>
        <w:spacing w:after="100" w:before="300"/>
      </w:pPr>
      <w:r>
        <w:rPr>
          <w:rFonts w:ascii="Calibri" w:cs="Calibri" w:eastAsia="Calibri" w:hAnsi="Calibri"/>
          <w:b/>
          <w:bCs/>
          <w:color w:val="4F46E5"/>
        </w:rPr>
        <w:t xml:space="preserve">1. The Assessment Bottleneck</w:t>
      </w:r>
    </w:p>
    <w:p>
      <w:pPr>
        <w:spacing w:after="120"/>
      </w:pPr>
      <w:r>
        <w:rPr>
          <w:rFonts w:ascii="Calibri" w:cs="Calibri" w:eastAsia="Calibri" w:hAnsi="Calibri"/>
          <w:color w:val="333333"/>
          <w:sz w:val="22"/>
          <w:szCs w:val="22"/>
        </w:rPr>
        <w:t xml:space="preserve">Traditional learning management systems (Canvas, Blackboard, Moodle) were designed as content delivery and grade recording platforms — not learning intelligence systems. Instructors spend an average of 11–15 hours per week on grading and administrative tasks, leaving limited time for mentorship and feedback that actually move the needle on student outcomes.</w:t>
      </w:r>
    </w:p>
    <w:p>
      <w:pPr>
        <w:spacing w:after="120"/>
      </w:pPr>
      <w:r>
        <w:rPr>
          <w:rFonts w:ascii="Calibri" w:cs="Calibri" w:eastAsia="Calibri" w:hAnsi="Calibri"/>
          <w:color w:val="333333"/>
          <w:sz w:val="22"/>
          <w:szCs w:val="22"/>
        </w:rPr>
        <w:t xml:space="preserve">Current automated grading tools assess outputs — the final answer — while ignoring the process by which a student arrived at that answer. An institution cannot distinguish between a student who deeply understands a concept and one who copied a correct answer.</w:t>
      </w:r>
    </w:p>
    <w:p>
      <w:pPr>
        <w:pStyle w:val="Heading2"/>
        <w:spacing w:after="100" w:before="300"/>
      </w:pPr>
      <w:r>
        <w:rPr>
          <w:rFonts w:ascii="Calibri" w:cs="Calibri" w:eastAsia="Calibri" w:hAnsi="Calibri"/>
          <w:b/>
          <w:bCs/>
          <w:color w:val="4F46E5"/>
        </w:rPr>
        <w:t xml:space="preserve">2. The AI Integrity Crisis</w:t>
      </w:r>
    </w:p>
    <w:p>
      <w:pPr>
        <w:spacing w:after="120"/>
      </w:pPr>
      <w:r>
        <w:rPr>
          <w:rFonts w:ascii="Calibri" w:cs="Calibri" w:eastAsia="Calibri" w:hAnsi="Calibri"/>
          <w:color w:val="333333"/>
          <w:sz w:val="22"/>
          <w:szCs w:val="22"/>
        </w:rPr>
        <w:t xml:space="preserve">ChatGPT and similar tools have made it trivially easy for students to generate submissions without genuine engagement. A 2024 Stanford study found that 67% of undergraduate students report using generative AI on coursework, yet only 12% of institutions have formal policies guiding productive AI use. This policy vacuum creates risk — integrity violations, inconsistent enforcement, and a widening gap between what students do and what institutions measure.</w:t>
      </w:r>
    </w:p>
    <w:p>
      <w:pPr>
        <w:pStyle w:val="Heading2"/>
        <w:spacing w:after="100" w:before="300"/>
      </w:pPr>
      <w:r>
        <w:rPr>
          <w:rFonts w:ascii="Calibri" w:cs="Calibri" w:eastAsia="Calibri" w:hAnsi="Calibri"/>
          <w:b/>
          <w:bCs/>
          <w:color w:val="4F46E5"/>
        </w:rPr>
        <w:t xml:space="preserve">3. The Visibility Gap</w:t>
      </w:r>
    </w:p>
    <w:p>
      <w:pPr>
        <w:spacing w:after="120"/>
      </w:pPr>
      <w:r>
        <w:rPr>
          <w:rFonts w:ascii="Calibri" w:cs="Calibri" w:eastAsia="Calibri" w:hAnsi="Calibri"/>
          <w:color w:val="333333"/>
          <w:sz w:val="22"/>
          <w:szCs w:val="22"/>
        </w:rPr>
        <w:t xml:space="preserve">When a student submits a paper, the instructor sees a finished product. They do not see how long the student struggled, whether they asked productive questions, at what point understanding broke down, or how their reasoning evolved. Instructors are grading artifacts instead of learning.</w:t>
      </w:r>
    </w:p>
    <w:p>
      <w:pPr>
        <w:pStyle w:val="Heading2"/>
        <w:spacing w:after="100" w:before="300"/>
      </w:pPr>
      <w:r>
        <w:rPr>
          <w:rFonts w:ascii="Calibri" w:cs="Calibri" w:eastAsia="Calibri" w:hAnsi="Calibri"/>
          <w:b/>
          <w:bCs/>
          <w:color w:val="4F46E5"/>
        </w:rPr>
        <w:t xml:space="preserve">4. One-Size-Fits-All Pedagogy</w:t>
      </w:r>
    </w:p>
    <w:p>
      <w:pPr>
        <w:spacing w:after="120"/>
      </w:pPr>
      <w:r>
        <w:rPr>
          <w:rFonts w:ascii="Calibri" w:cs="Calibri" w:eastAsia="Calibri" w:hAnsi="Calibri"/>
          <w:color w:val="333333"/>
          <w:sz w:val="22"/>
          <w:szCs w:val="22"/>
        </w:rPr>
        <w:t xml:space="preserve">Every student learns differently, yet most eLearning platforms deliver the same content to every student. Instructors have no practical way to provide individualized guidance at scale.</w:t>
      </w:r>
    </w:p>
    <w:p>
      <w:pPr>
        <w:pStyle w:val="Heading1"/>
        <w:spacing w:after="100" w:before="300"/>
      </w:pPr>
      <w:r>
        <w:rPr>
          <w:rFonts w:ascii="Calibri" w:cs="Calibri" w:eastAsia="Calibri" w:hAnsi="Calibri"/>
          <w:b/>
          <w:bCs/>
          <w:color w:val="4F46E5"/>
        </w:rPr>
        <w:t xml:space="preserve">The Solution: How Elevate Closes These Gaps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4F46E5" w:val="solid"/>
          </w:tcPr>
          <w:p>
            <w:r>
              <w:rPr>
                <w:rFonts w:ascii="Calibri" w:cs="Calibri" w:eastAsia="Calibri" w:hAnsi="Calibri"/>
                <w:b/>
                <w:bCs/>
                <w:color w:val="FFFFFF"/>
                <w:sz w:val="20"/>
                <w:szCs w:val="20"/>
              </w:rPr>
              <w:t xml:space="preserve">Dimension</w:t>
            </w:r>
          </w:p>
        </w:tc>
        <w:tc>
          <w:tcPr>
            <w:tcW w:type="pct" w:w="33.333333333333336%"/>
            <w:shd w:color="4F46E5" w:val="solid"/>
          </w:tcPr>
          <w:p>
            <w:r>
              <w:rPr>
                <w:rFonts w:ascii="Calibri" w:cs="Calibri" w:eastAsia="Calibri" w:hAnsi="Calibri"/>
                <w:b/>
                <w:bCs/>
                <w:color w:val="FFFFFF"/>
                <w:sz w:val="20"/>
                <w:szCs w:val="20"/>
              </w:rPr>
              <w:t xml:space="preserve">Traditional LMS</w:t>
            </w:r>
          </w:p>
        </w:tc>
        <w:tc>
          <w:tcPr>
            <w:tcW w:type="pct" w:w="33.333333333333336%"/>
            <w:shd w:color="4F46E5" w:val="solid"/>
          </w:tcPr>
          <w:p>
            <w:r>
              <w:rPr>
                <w:rFonts w:ascii="Calibri" w:cs="Calibri" w:eastAsia="Calibri" w:hAnsi="Calibri"/>
                <w:b/>
                <w:bCs/>
                <w:color w:val="FFFFFF"/>
                <w:sz w:val="20"/>
                <w:szCs w:val="20"/>
              </w:rPr>
              <w:t xml:space="preserve">Elevate Learning</w:t>
            </w:r>
          </w:p>
        </w:tc>
      </w:tr>
      <w:tr>
        <w:tc>
          <w:tcPr>
            <w:tcW w:type="pct" w:w="33.333333333333336%"/>
          </w:tcPr>
          <w:p>
            <w:r>
              <w:rPr>
                <w:rFonts w:ascii="Calibri" w:cs="Calibri" w:eastAsia="Calibri" w:hAnsi="Calibri"/>
                <w:b w:val="false"/>
                <w:bCs w:val="false"/>
                <w:color w:val="333333"/>
                <w:sz w:val="20"/>
                <w:szCs w:val="20"/>
              </w:rPr>
              <w:t xml:space="preserve">What is graded</w:t>
            </w:r>
          </w:p>
        </w:tc>
        <w:tc>
          <w:tcPr>
            <w:tcW w:type="pct" w:w="33.333333333333336%"/>
          </w:tcPr>
          <w:p>
            <w:r>
              <w:rPr>
                <w:rFonts w:ascii="Calibri" w:cs="Calibri" w:eastAsia="Calibri" w:hAnsi="Calibri"/>
                <w:b w:val="false"/>
                <w:bCs w:val="false"/>
                <w:color w:val="333333"/>
                <w:sz w:val="20"/>
                <w:szCs w:val="20"/>
              </w:rPr>
              <w:t xml:space="preserve">Final submission only</w:t>
            </w:r>
          </w:p>
        </w:tc>
        <w:tc>
          <w:tcPr>
            <w:tcW w:type="pct" w:w="33.333333333333336%"/>
          </w:tcPr>
          <w:p>
            <w:r>
              <w:rPr>
                <w:rFonts w:ascii="Calibri" w:cs="Calibri" w:eastAsia="Calibri" w:hAnsi="Calibri"/>
                <w:b w:val="false"/>
                <w:bCs w:val="false"/>
                <w:color w:val="333333"/>
                <w:sz w:val="20"/>
                <w:szCs w:val="20"/>
              </w:rPr>
              <w:t xml:space="preserve">Process (60%), AI interaction quality (30%), correctness (10%)</w:t>
            </w:r>
          </w:p>
        </w:tc>
      </w:tr>
      <w:tr>
        <w:tc>
          <w:tcPr>
            <w:tcW w:type="pct" w:w="33.333333333333336%"/>
          </w:tcPr>
          <w:p>
            <w:r>
              <w:rPr>
                <w:rFonts w:ascii="Calibri" w:cs="Calibri" w:eastAsia="Calibri" w:hAnsi="Calibri"/>
                <w:b w:val="false"/>
                <w:bCs w:val="false"/>
                <w:color w:val="333333"/>
                <w:sz w:val="20"/>
                <w:szCs w:val="20"/>
              </w:rPr>
              <w:t xml:space="preserve">AI role</w:t>
            </w:r>
          </w:p>
        </w:tc>
        <w:tc>
          <w:tcPr>
            <w:tcW w:type="pct" w:w="33.333333333333336%"/>
          </w:tcPr>
          <w:p>
            <w:r>
              <w:rPr>
                <w:rFonts w:ascii="Calibri" w:cs="Calibri" w:eastAsia="Calibri" w:hAnsi="Calibri"/>
                <w:b w:val="false"/>
                <w:bCs w:val="false"/>
                <w:color w:val="333333"/>
                <w:sz w:val="20"/>
                <w:szCs w:val="20"/>
              </w:rPr>
              <w:t xml:space="preserve">Banned or uncontrolled</w:t>
            </w:r>
          </w:p>
        </w:tc>
        <w:tc>
          <w:tcPr>
            <w:tcW w:type="pct" w:w="33.333333333333336%"/>
          </w:tcPr>
          <w:p>
            <w:r>
              <w:rPr>
                <w:rFonts w:ascii="Calibri" w:cs="Calibri" w:eastAsia="Calibri" w:hAnsi="Calibri"/>
                <w:b w:val="false"/>
                <w:bCs w:val="false"/>
                <w:color w:val="333333"/>
                <w:sz w:val="20"/>
                <w:szCs w:val="20"/>
              </w:rPr>
              <w:t xml:space="preserve">Structured collaborator with guardrails</w:t>
            </w:r>
          </w:p>
        </w:tc>
      </w:tr>
      <w:tr>
        <w:tc>
          <w:tcPr>
            <w:tcW w:type="pct" w:w="33.333333333333336%"/>
          </w:tcPr>
          <w:p>
            <w:r>
              <w:rPr>
                <w:rFonts w:ascii="Calibri" w:cs="Calibri" w:eastAsia="Calibri" w:hAnsi="Calibri"/>
                <w:b w:val="false"/>
                <w:bCs w:val="false"/>
                <w:color w:val="333333"/>
                <w:sz w:val="20"/>
                <w:szCs w:val="20"/>
              </w:rPr>
              <w:t xml:space="preserve">Instructor workload</w:t>
            </w:r>
          </w:p>
        </w:tc>
        <w:tc>
          <w:tcPr>
            <w:tcW w:type="pct" w:w="33.333333333333336%"/>
          </w:tcPr>
          <w:p>
            <w:r>
              <w:rPr>
                <w:rFonts w:ascii="Calibri" w:cs="Calibri" w:eastAsia="Calibri" w:hAnsi="Calibri"/>
                <w:b w:val="false"/>
                <w:bCs w:val="false"/>
                <w:color w:val="333333"/>
                <w:sz w:val="20"/>
                <w:szCs w:val="20"/>
              </w:rPr>
              <w:t xml:space="preserve">Manual grading, 11–15 hrs/week</w:t>
            </w:r>
          </w:p>
        </w:tc>
        <w:tc>
          <w:tcPr>
            <w:tcW w:type="pct" w:w="33.333333333333336%"/>
          </w:tcPr>
          <w:p>
            <w:r>
              <w:rPr>
                <w:rFonts w:ascii="Calibri" w:cs="Calibri" w:eastAsia="Calibri" w:hAnsi="Calibri"/>
                <w:b w:val="false"/>
                <w:bCs w:val="false"/>
                <w:color w:val="333333"/>
                <w:sz w:val="20"/>
                <w:szCs w:val="20"/>
              </w:rPr>
              <w:t xml:space="preserve">AI pre-grades; instructor reviews and finalizes</w:t>
            </w:r>
          </w:p>
        </w:tc>
      </w:tr>
      <w:tr>
        <w:tc>
          <w:tcPr>
            <w:tcW w:type="pct" w:w="33.333333333333336%"/>
          </w:tcPr>
          <w:p>
            <w:r>
              <w:rPr>
                <w:rFonts w:ascii="Calibri" w:cs="Calibri" w:eastAsia="Calibri" w:hAnsi="Calibri"/>
                <w:b w:val="false"/>
                <w:bCs w:val="false"/>
                <w:color w:val="333333"/>
                <w:sz w:val="20"/>
                <w:szCs w:val="20"/>
              </w:rPr>
              <w:t xml:space="preserve">Student visibility</w:t>
            </w:r>
          </w:p>
        </w:tc>
        <w:tc>
          <w:tcPr>
            <w:tcW w:type="pct" w:w="33.333333333333336%"/>
          </w:tcPr>
          <w:p>
            <w:r>
              <w:rPr>
                <w:rFonts w:ascii="Calibri" w:cs="Calibri" w:eastAsia="Calibri" w:hAnsi="Calibri"/>
                <w:b w:val="false"/>
                <w:bCs w:val="false"/>
                <w:color w:val="333333"/>
                <w:sz w:val="20"/>
                <w:szCs w:val="20"/>
              </w:rPr>
              <w:t xml:space="preserve">Grade + optional comments</w:t>
            </w:r>
          </w:p>
        </w:tc>
        <w:tc>
          <w:tcPr>
            <w:tcW w:type="pct" w:w="33.333333333333336%"/>
          </w:tcPr>
          <w:p>
            <w:r>
              <w:rPr>
                <w:rFonts w:ascii="Calibri" w:cs="Calibri" w:eastAsia="Calibri" w:hAnsi="Calibri"/>
                <w:b w:val="false"/>
                <w:bCs w:val="false"/>
                <w:color w:val="333333"/>
                <w:sz w:val="20"/>
                <w:szCs w:val="20"/>
              </w:rPr>
              <w:t xml:space="preserve">Full scorecard: AI score, breakdown, feedback</w:t>
            </w:r>
          </w:p>
        </w:tc>
      </w:tr>
      <w:tr>
        <w:tc>
          <w:tcPr>
            <w:tcW w:type="pct" w:w="33.333333333333336%"/>
          </w:tcPr>
          <w:p>
            <w:r>
              <w:rPr>
                <w:rFonts w:ascii="Calibri" w:cs="Calibri" w:eastAsia="Calibri" w:hAnsi="Calibri"/>
                <w:b w:val="false"/>
                <w:bCs w:val="false"/>
                <w:color w:val="333333"/>
                <w:sz w:val="20"/>
                <w:szCs w:val="20"/>
              </w:rPr>
              <w:t xml:space="preserve">Process evidence</w:t>
            </w:r>
          </w:p>
        </w:tc>
        <w:tc>
          <w:tcPr>
            <w:tcW w:type="pct" w:w="33.333333333333336%"/>
          </w:tcPr>
          <w:p>
            <w:r>
              <w:rPr>
                <w:rFonts w:ascii="Calibri" w:cs="Calibri" w:eastAsia="Calibri" w:hAnsi="Calibri"/>
                <w:b w:val="false"/>
                <w:bCs w:val="false"/>
                <w:color w:val="333333"/>
                <w:sz w:val="20"/>
                <w:szCs w:val="20"/>
              </w:rPr>
              <w:t xml:space="preserve">None</w:t>
            </w:r>
          </w:p>
        </w:tc>
        <w:tc>
          <w:tcPr>
            <w:tcW w:type="pct" w:w="33.333333333333336%"/>
          </w:tcPr>
          <w:p>
            <w:r>
              <w:rPr>
                <w:rFonts w:ascii="Calibri" w:cs="Calibri" w:eastAsia="Calibri" w:hAnsi="Calibri"/>
                <w:b w:val="false"/>
                <w:bCs w:val="false"/>
                <w:color w:val="333333"/>
                <w:sz w:val="20"/>
                <w:szCs w:val="20"/>
              </w:rPr>
              <w:t xml:space="preserve">Complete interaction transcript, duration, go-backs</w:t>
            </w:r>
          </w:p>
        </w:tc>
      </w:tr>
      <w:tr>
        <w:tc>
          <w:tcPr>
            <w:tcW w:type="pct" w:w="33.333333333333336%"/>
          </w:tcPr>
          <w:p>
            <w:r>
              <w:rPr>
                <w:rFonts w:ascii="Calibri" w:cs="Calibri" w:eastAsia="Calibri" w:hAnsi="Calibri"/>
                <w:b w:val="false"/>
                <w:bCs w:val="false"/>
                <w:color w:val="333333"/>
                <w:sz w:val="20"/>
                <w:szCs w:val="20"/>
              </w:rPr>
              <w:t xml:space="preserve">Academic integrity</w:t>
            </w:r>
          </w:p>
        </w:tc>
        <w:tc>
          <w:tcPr>
            <w:tcW w:type="pct" w:w="33.333333333333336%"/>
          </w:tcPr>
          <w:p>
            <w:r>
              <w:rPr>
                <w:rFonts w:ascii="Calibri" w:cs="Calibri" w:eastAsia="Calibri" w:hAnsi="Calibri"/>
                <w:b w:val="false"/>
                <w:bCs w:val="false"/>
                <w:color w:val="333333"/>
                <w:sz w:val="20"/>
                <w:szCs w:val="20"/>
              </w:rPr>
              <w:t xml:space="preserve">Plagiarism detection (reactive)</w:t>
            </w:r>
          </w:p>
        </w:tc>
        <w:tc>
          <w:tcPr>
            <w:tcW w:type="pct" w:w="33.333333333333336%"/>
          </w:tcPr>
          <w:p>
            <w:r>
              <w:rPr>
                <w:rFonts w:ascii="Calibri" w:cs="Calibri" w:eastAsia="Calibri" w:hAnsi="Calibri"/>
                <w:b w:val="false"/>
                <w:bCs w:val="false"/>
                <w:color w:val="333333"/>
                <w:sz w:val="20"/>
                <w:szCs w:val="20"/>
              </w:rPr>
              <w:t xml:space="preserve">AI interaction capture (proactive)</w:t>
            </w:r>
          </w:p>
        </w:tc>
      </w:tr>
      <w:tr>
        <w:tc>
          <w:tcPr>
            <w:tcW w:type="pct" w:w="33.333333333333336%"/>
          </w:tcPr>
          <w:p>
            <w:r>
              <w:rPr>
                <w:rFonts w:ascii="Calibri" w:cs="Calibri" w:eastAsia="Calibri" w:hAnsi="Calibri"/>
                <w:b w:val="false"/>
                <w:bCs w:val="false"/>
                <w:color w:val="333333"/>
                <w:sz w:val="20"/>
                <w:szCs w:val="20"/>
              </w:rPr>
              <w:t xml:space="preserve">Personalization</w:t>
            </w:r>
          </w:p>
        </w:tc>
        <w:tc>
          <w:tcPr>
            <w:tcW w:type="pct" w:w="33.333333333333336%"/>
          </w:tcPr>
          <w:p>
            <w:r>
              <w:rPr>
                <w:rFonts w:ascii="Calibri" w:cs="Calibri" w:eastAsia="Calibri" w:hAnsi="Calibri"/>
                <w:b w:val="false"/>
                <w:bCs w:val="false"/>
                <w:color w:val="333333"/>
                <w:sz w:val="20"/>
                <w:szCs w:val="20"/>
              </w:rPr>
              <w:t xml:space="preserve">None</w:t>
            </w:r>
          </w:p>
        </w:tc>
        <w:tc>
          <w:tcPr>
            <w:tcW w:type="pct" w:w="33.333333333333336%"/>
          </w:tcPr>
          <w:p>
            <w:r>
              <w:rPr>
                <w:rFonts w:ascii="Calibri" w:cs="Calibri" w:eastAsia="Calibri" w:hAnsi="Calibri"/>
                <w:b w:val="false"/>
                <w:bCs w:val="false"/>
                <w:color w:val="333333"/>
                <w:sz w:val="20"/>
                <w:szCs w:val="20"/>
              </w:rPr>
              <w:t xml:space="preserve">3 AI tutor styles, adaptive, weekly goals</w:t>
            </w:r>
          </w:p>
        </w:tc>
      </w:tr>
      <w:tr>
        <w:tc>
          <w:tcPr>
            <w:tcW w:type="pct" w:w="33.333333333333336%"/>
          </w:tcPr>
          <w:p>
            <w:r>
              <w:rPr>
                <w:rFonts w:ascii="Calibri" w:cs="Calibri" w:eastAsia="Calibri" w:hAnsi="Calibri"/>
                <w:b w:val="false"/>
                <w:bCs w:val="false"/>
                <w:color w:val="333333"/>
                <w:sz w:val="20"/>
                <w:szCs w:val="20"/>
              </w:rPr>
              <w:t xml:space="preserve">Completed work</w:t>
            </w:r>
          </w:p>
        </w:tc>
        <w:tc>
          <w:tcPr>
            <w:tcW w:type="pct" w:w="33.333333333333336%"/>
          </w:tcPr>
          <w:p>
            <w:r>
              <w:rPr>
                <w:rFonts w:ascii="Calibri" w:cs="Calibri" w:eastAsia="Calibri" w:hAnsi="Calibri"/>
                <w:b w:val="false"/>
                <w:bCs w:val="false"/>
                <w:color w:val="333333"/>
                <w:sz w:val="20"/>
                <w:szCs w:val="20"/>
              </w:rPr>
              <w:t xml:space="preserve">Final file only</w:t>
            </w:r>
          </w:p>
        </w:tc>
        <w:tc>
          <w:tcPr>
            <w:tcW w:type="pct" w:w="33.333333333333336%"/>
          </w:tcPr>
          <w:p>
            <w:r>
              <w:rPr>
                <w:rFonts w:ascii="Calibri" w:cs="Calibri" w:eastAsia="Calibri" w:hAnsi="Calibri"/>
                <w:b w:val="false"/>
                <w:bCs w:val="false"/>
                <w:color w:val="333333"/>
                <w:sz w:val="20"/>
                <w:szCs w:val="20"/>
              </w:rPr>
              <w:t xml:space="preserve">Attached file + full AI collaboration record</w:t>
            </w:r>
          </w:p>
        </w:tc>
      </w:tr>
    </w:tbl>
    <w:p>
      <w:pPr>
        <w:pStyle w:val="Heading1"/>
        <w:spacing w:after="100" w:before="300"/>
      </w:pPr>
      <w:r>
        <w:rPr>
          <w:rFonts w:ascii="Calibri" w:cs="Calibri" w:eastAsia="Calibri" w:hAnsi="Calibri"/>
          <w:b/>
          <w:bCs/>
          <w:color w:val="4F46E5"/>
        </w:rPr>
        <w:t xml:space="preserve">AI Integration: Purposeful, Not Performative</w:t>
      </w:r>
    </w:p>
    <w:p>
      <w:pPr>
        <w:pStyle w:val="Heading2"/>
        <w:spacing w:after="100" w:before="300"/>
      </w:pPr>
      <w:r>
        <w:rPr>
          <w:rFonts w:ascii="Calibri" w:cs="Calibri" w:eastAsia="Calibri" w:hAnsi="Calibri"/>
          <w:b/>
          <w:bCs/>
          <w:color w:val="4F46E5"/>
        </w:rPr>
        <w:t xml:space="preserve">AI Tutors — Teaching Students to Think</w:t>
      </w:r>
    </w:p>
    <w:p>
      <w:pPr>
        <w:spacing w:after="120"/>
      </w:pPr>
      <w:r>
        <w:rPr>
          <w:rFonts w:ascii="Calibri" w:cs="Calibri" w:eastAsia="Calibri" w:hAnsi="Calibri"/>
          <w:color w:val="333333"/>
          <w:sz w:val="22"/>
          <w:szCs w:val="22"/>
        </w:rPr>
        <w:t xml:space="preserve">Three distinct AI tutor personalities are bound by strict pedagogical guardrails: they never provide direct answers, adapt to the student's level, and encourage metacognition. Students who engage with the tutor must demonstrate understanding to progress.</w:t>
      </w:r>
    </w:p>
    <w:p>
      <w:pPr>
        <w:pStyle w:val="Heading2"/>
        <w:spacing w:after="100" w:before="300"/>
      </w:pPr>
      <w:r>
        <w:rPr>
          <w:rFonts w:ascii="Calibri" w:cs="Calibri" w:eastAsia="Calibri" w:hAnsi="Calibri"/>
          <w:b/>
          <w:bCs/>
          <w:color w:val="4F46E5"/>
        </w:rPr>
        <w:t xml:space="preserve">AI Grading — Measuring What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4F46E5" w:val="solid"/>
          </w:tcPr>
          <w:p>
            <w:r>
              <w:rPr>
                <w:rFonts w:ascii="Calibri" w:cs="Calibri" w:eastAsia="Calibri" w:hAnsi="Calibri"/>
                <w:b/>
                <w:bCs/>
                <w:color w:val="FFFFFF"/>
                <w:sz w:val="20"/>
                <w:szCs w:val="20"/>
              </w:rPr>
              <w:t xml:space="preserve">Component</w:t>
            </w:r>
          </w:p>
        </w:tc>
        <w:tc>
          <w:tcPr>
            <w:tcW w:type="pct" w:w="33.333333333333336%"/>
            <w:shd w:color="4F46E5" w:val="solid"/>
          </w:tcPr>
          <w:p>
            <w:r>
              <w:rPr>
                <w:rFonts w:ascii="Calibri" w:cs="Calibri" w:eastAsia="Calibri" w:hAnsi="Calibri"/>
                <w:b/>
                <w:bCs/>
                <w:color w:val="FFFFFF"/>
                <w:sz w:val="20"/>
                <w:szCs w:val="20"/>
              </w:rPr>
              <w:t xml:space="preserve">Weight</w:t>
            </w:r>
          </w:p>
        </w:tc>
        <w:tc>
          <w:tcPr>
            <w:tcW w:type="pct" w:w="33.333333333333336%"/>
            <w:shd w:color="4F46E5" w:val="solid"/>
          </w:tcPr>
          <w:p>
            <w:r>
              <w:rPr>
                <w:rFonts w:ascii="Calibri" w:cs="Calibri" w:eastAsia="Calibri" w:hAnsi="Calibri"/>
                <w:b/>
                <w:bCs/>
                <w:color w:val="FFFFFF"/>
                <w:sz w:val="20"/>
                <w:szCs w:val="20"/>
              </w:rPr>
              <w:t xml:space="preserve">What It Captures</w:t>
            </w:r>
          </w:p>
        </w:tc>
      </w:tr>
      <w:tr>
        <w:tc>
          <w:tcPr>
            <w:tcW w:type="pct" w:w="33.333333333333336%"/>
          </w:tcPr>
          <w:p>
            <w:r>
              <w:rPr>
                <w:rFonts w:ascii="Calibri" w:cs="Calibri" w:eastAsia="Calibri" w:hAnsi="Calibri"/>
                <w:b w:val="false"/>
                <w:bCs w:val="false"/>
                <w:color w:val="333333"/>
                <w:sz w:val="20"/>
                <w:szCs w:val="20"/>
              </w:rPr>
              <w:t xml:space="preserve">Problem-Solving Ability</w:t>
            </w:r>
          </w:p>
        </w:tc>
        <w:tc>
          <w:tcPr>
            <w:tcW w:type="pct" w:w="33.333333333333336%"/>
          </w:tcPr>
          <w:p>
            <w:r>
              <w:rPr>
                <w:rFonts w:ascii="Calibri" w:cs="Calibri" w:eastAsia="Calibri" w:hAnsi="Calibri"/>
                <w:b w:val="false"/>
                <w:bCs w:val="false"/>
                <w:color w:val="333333"/>
                <w:sz w:val="20"/>
                <w:szCs w:val="20"/>
              </w:rPr>
              <w:t xml:space="preserve">60%</w:t>
            </w:r>
          </w:p>
        </w:tc>
        <w:tc>
          <w:tcPr>
            <w:tcW w:type="pct" w:w="33.333333333333336%"/>
          </w:tcPr>
          <w:p>
            <w:r>
              <w:rPr>
                <w:rFonts w:ascii="Calibri" w:cs="Calibri" w:eastAsia="Calibri" w:hAnsi="Calibri"/>
                <w:b w:val="false"/>
                <w:bCs w:val="false"/>
                <w:color w:val="333333"/>
                <w:sz w:val="20"/>
                <w:szCs w:val="20"/>
              </w:rPr>
              <w:t xml:space="preserve">Did the student decompose the problem, show progressive reasoning, recover from mistakes?</w:t>
            </w:r>
          </w:p>
        </w:tc>
      </w:tr>
      <w:tr>
        <w:tc>
          <w:tcPr>
            <w:tcW w:type="pct" w:w="33.333333333333336%"/>
          </w:tcPr>
          <w:p>
            <w:r>
              <w:rPr>
                <w:rFonts w:ascii="Calibri" w:cs="Calibri" w:eastAsia="Calibri" w:hAnsi="Calibri"/>
                <w:b w:val="false"/>
                <w:bCs w:val="false"/>
                <w:color w:val="333333"/>
                <w:sz w:val="20"/>
                <w:szCs w:val="20"/>
              </w:rPr>
              <w:t xml:space="preserve">AI Competency</w:t>
            </w:r>
          </w:p>
        </w:tc>
        <w:tc>
          <w:tcPr>
            <w:tcW w:type="pct" w:w="33.333333333333336%"/>
          </w:tcPr>
          <w:p>
            <w:r>
              <w:rPr>
                <w:rFonts w:ascii="Calibri" w:cs="Calibri" w:eastAsia="Calibri" w:hAnsi="Calibri"/>
                <w:b w:val="false"/>
                <w:bCs w:val="false"/>
                <w:color w:val="333333"/>
                <w:sz w:val="20"/>
                <w:szCs w:val="20"/>
              </w:rPr>
              <w:t xml:space="preserve">30%</w:t>
            </w:r>
          </w:p>
        </w:tc>
        <w:tc>
          <w:tcPr>
            <w:tcW w:type="pct" w:w="33.333333333333336%"/>
          </w:tcPr>
          <w:p>
            <w:r>
              <w:rPr>
                <w:rFonts w:ascii="Calibri" w:cs="Calibri" w:eastAsia="Calibri" w:hAnsi="Calibri"/>
                <w:b w:val="false"/>
                <w:bCs w:val="false"/>
                <w:color w:val="333333"/>
                <w:sz w:val="20"/>
                <w:szCs w:val="20"/>
              </w:rPr>
              <w:t xml:space="preserve">Did the student ask productive questions and use AI guidance effectively?</w:t>
            </w:r>
          </w:p>
        </w:tc>
      </w:tr>
      <w:tr>
        <w:tc>
          <w:tcPr>
            <w:tcW w:type="pct" w:w="33.333333333333336%"/>
          </w:tcPr>
          <w:p>
            <w:r>
              <w:rPr>
                <w:rFonts w:ascii="Calibri" w:cs="Calibri" w:eastAsia="Calibri" w:hAnsi="Calibri"/>
                <w:b w:val="false"/>
                <w:bCs w:val="false"/>
                <w:color w:val="333333"/>
                <w:sz w:val="20"/>
                <w:szCs w:val="20"/>
              </w:rPr>
              <w:t xml:space="preserve">Correctness</w:t>
            </w:r>
          </w:p>
        </w:tc>
        <w:tc>
          <w:tcPr>
            <w:tcW w:type="pct" w:w="33.333333333333336%"/>
          </w:tcPr>
          <w:p>
            <w:r>
              <w:rPr>
                <w:rFonts w:ascii="Calibri" w:cs="Calibri" w:eastAsia="Calibri" w:hAnsi="Calibri"/>
                <w:b w:val="false"/>
                <w:bCs w:val="false"/>
                <w:color w:val="333333"/>
                <w:sz w:val="20"/>
                <w:szCs w:val="20"/>
              </w:rPr>
              <w:t xml:space="preserve">10%</w:t>
            </w:r>
          </w:p>
        </w:tc>
        <w:tc>
          <w:tcPr>
            <w:tcW w:type="pct" w:w="33.333333333333336%"/>
          </w:tcPr>
          <w:p>
            <w:r>
              <w:rPr>
                <w:rFonts w:ascii="Calibri" w:cs="Calibri" w:eastAsia="Calibri" w:hAnsi="Calibri"/>
                <w:b w:val="false"/>
                <w:bCs w:val="false"/>
                <w:color w:val="333333"/>
                <w:sz w:val="20"/>
                <w:szCs w:val="20"/>
              </w:rPr>
              <w:t xml:space="preserve">Was the final answer or conclusion accurate?</w:t>
            </w:r>
          </w:p>
        </w:tc>
      </w:tr>
    </w:tbl>
    <w:p>
      <w:pPr>
        <w:pStyle w:val="Heading2"/>
        <w:spacing w:after="100" w:before="300"/>
      </w:pPr>
      <w:r>
        <w:rPr>
          <w:rFonts w:ascii="Calibri" w:cs="Calibri" w:eastAsia="Calibri" w:hAnsi="Calibri"/>
          <w:b/>
          <w:bCs/>
          <w:color w:val="4F46E5"/>
        </w:rPr>
        <w:t xml:space="preserve">Completed Work + Redo Workflow</w:t>
      </w:r>
    </w:p>
    <w:p>
      <w:pPr>
        <w:spacing w:after="120"/>
      </w:pPr>
      <w:r>
        <w:rPr>
          <w:rFonts w:ascii="Calibri" w:cs="Calibri" w:eastAsia="Calibri" w:hAnsi="Calibri"/>
          <w:color w:val="333333"/>
          <w:sz w:val="22"/>
          <w:szCs w:val="22"/>
        </w:rPr>
        <w:t xml:space="preserve">Students must attach their completed assignment file when submitting. Instructors can download and review the actual work alongside the AI interaction transcript. If the work is insufficient, instructors can request a redo with an explanation — the student is notified and can rework and resubmit.</w:t>
      </w:r>
    </w:p>
    <w:p>
      <w:pPr>
        <w:pStyle w:val="Heading1"/>
        <w:spacing w:after="100" w:before="300"/>
      </w:pPr>
      <w:r>
        <w:rPr>
          <w:rFonts w:ascii="Calibri" w:cs="Calibri" w:eastAsia="Calibri" w:hAnsi="Calibri"/>
          <w:b/>
          <w:bCs/>
          <w:color w:val="4F46E5"/>
        </w:rPr>
        <w:t xml:space="preserve">Value for Institutional Stakeholders</w:t>
      </w:r>
    </w:p>
    <w:p>
      <w:pPr>
        <w:spacing w:after="120"/>
      </w:pPr>
      <w:r>
        <w:rPr>
          <w:rFonts w:ascii="Calibri" w:cs="Calibri" w:eastAsia="Calibri" w:hAnsi="Calibri"/>
          <w:b/>
          <w:bCs/>
          <w:sz w:val="22"/>
          <w:szCs w:val="22"/>
        </w:rPr>
        <w:t xml:space="preserve">Provost / VP of Academic Affairs: </w:t>
      </w:r>
      <w:r>
        <w:rPr>
          <w:rFonts w:ascii="Calibri" w:cs="Calibri" w:eastAsia="Calibri" w:hAnsi="Calibri"/>
          <w:sz w:val="22"/>
          <w:szCs w:val="22"/>
        </w:rPr>
        <w:t xml:space="preserve">Every assignment produces a structured competency breakdown with supporting process evidence — exactly what accreditors (HLC, SACSCOC, MSCHE, WASC) demand.</w:t>
      </w:r>
    </w:p>
    <w:p>
      <w:pPr>
        <w:spacing w:after="120"/>
      </w:pPr>
      <w:r>
        <w:rPr>
          <w:rFonts w:ascii="Calibri" w:cs="Calibri" w:eastAsia="Calibri" w:hAnsi="Calibri"/>
          <w:b/>
          <w:bCs/>
          <w:sz w:val="22"/>
          <w:szCs w:val="22"/>
        </w:rPr>
        <w:t xml:space="preserve">CIO / VP of Technology: </w:t>
      </w:r>
      <w:r>
        <w:rPr>
          <w:rFonts w:ascii="Calibri" w:cs="Calibri" w:eastAsia="Calibri" w:hAnsi="Calibri"/>
          <w:sz w:val="22"/>
          <w:szCs w:val="22"/>
        </w:rPr>
        <w:t xml:space="preserve">Brings shadow AI usage into a sanctioned, monitored environment. All data stored in your institution's database. Integrates with existing LMS via LTI 1.3.</w:t>
      </w:r>
    </w:p>
    <w:p>
      <w:pPr>
        <w:spacing w:after="120"/>
      </w:pPr>
      <w:r>
        <w:rPr>
          <w:rFonts w:ascii="Calibri" w:cs="Calibri" w:eastAsia="Calibri" w:hAnsi="Calibri"/>
          <w:b/>
          <w:bCs/>
          <w:sz w:val="22"/>
          <w:szCs w:val="22"/>
        </w:rPr>
        <w:t xml:space="preserve">CFO / VP of Finance: </w:t>
      </w:r>
      <w:r>
        <w:rPr>
          <w:rFonts w:ascii="Calibri" w:cs="Calibri" w:eastAsia="Calibri" w:hAnsi="Calibri"/>
          <w:sz w:val="22"/>
          <w:szCs w:val="22"/>
        </w:rPr>
        <w:t xml:space="preserve">AI pre-grading reduces instructor grading workload by 40–60%. Improved retention from early warning systems protects tuition revenue.</w:t>
      </w:r>
    </w:p>
    <w:p>
      <w:pPr>
        <w:spacing w:after="120"/>
      </w:pPr>
      <w:r>
        <w:rPr>
          <w:rFonts w:ascii="Calibri" w:cs="Calibri" w:eastAsia="Calibri" w:hAnsi="Calibri"/>
          <w:b/>
          <w:bCs/>
          <w:sz w:val="22"/>
          <w:szCs w:val="22"/>
        </w:rPr>
        <w:t xml:space="preserve">Dean of Students: </w:t>
      </w:r>
      <w:r>
        <w:rPr>
          <w:rFonts w:ascii="Calibri" w:cs="Calibri" w:eastAsia="Calibri" w:hAnsi="Calibri"/>
          <w:sz w:val="22"/>
          <w:szCs w:val="22"/>
        </w:rPr>
        <w:t xml:space="preserve">Weekly study goals with automated reminders, interaction quality monitoring, and redo workflow provide early intervention before students disengage.</w:t>
      </w:r>
    </w:p>
    <w:p>
      <w:pPr>
        <w:spacing w:after="120"/>
      </w:pPr>
      <w:r>
        <w:rPr>
          <w:rFonts w:ascii="Calibri" w:cs="Calibri" w:eastAsia="Calibri" w:hAnsi="Calibri"/>
          <w:b/>
          <w:bCs/>
          <w:sz w:val="22"/>
          <w:szCs w:val="22"/>
        </w:rPr>
        <w:t xml:space="preserve">Instructors: </w:t>
      </w:r>
      <w:r>
        <w:rPr>
          <w:rFonts w:ascii="Calibri" w:cs="Calibri" w:eastAsia="Calibri" w:hAnsi="Calibri"/>
          <w:sz w:val="22"/>
          <w:szCs w:val="22"/>
        </w:rPr>
        <w:t xml:space="preserve">AI generates detailed feedback for every submission. Grade in minutes instead of hours. Focus on pedagogy, not paperwork.</w:t>
      </w:r>
    </w:p>
    <w:p>
      <w:pPr>
        <w:pStyle w:val="Heading1"/>
        <w:spacing w:after="100" w:before="300"/>
      </w:pPr>
      <w:r>
        <w:rPr>
          <w:rFonts w:ascii="Calibri" w:cs="Calibri" w:eastAsia="Calibri" w:hAnsi="Calibri"/>
          <w:b/>
          <w:bCs/>
          <w:color w:val="4F46E5"/>
        </w:rPr>
        <w:t xml:space="preserve">Competitive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4F46E5" w:val="solid"/>
          </w:tcPr>
          <w:p>
            <w:r>
              <w:rPr>
                <w:rFonts w:ascii="Calibri" w:cs="Calibri" w:eastAsia="Calibri" w:hAnsi="Calibri"/>
                <w:b/>
                <w:bCs/>
                <w:color w:val="FFFFFF"/>
                <w:sz w:val="20"/>
                <w:szCs w:val="20"/>
              </w:rPr>
              <w:t xml:space="preserve">Platform</w:t>
            </w:r>
          </w:p>
        </w:tc>
        <w:tc>
          <w:tcPr>
            <w:tcW w:type="pct" w:w="33.333333333333336%"/>
            <w:shd w:color="4F46E5" w:val="solid"/>
          </w:tcPr>
          <w:p>
            <w:r>
              <w:rPr>
                <w:rFonts w:ascii="Calibri" w:cs="Calibri" w:eastAsia="Calibri" w:hAnsi="Calibri"/>
                <w:b/>
                <w:bCs/>
                <w:color w:val="FFFFFF"/>
                <w:sz w:val="20"/>
                <w:szCs w:val="20"/>
              </w:rPr>
              <w:t xml:space="preserve">Approach</w:t>
            </w:r>
          </w:p>
        </w:tc>
        <w:tc>
          <w:tcPr>
            <w:tcW w:type="pct" w:w="33.333333333333336%"/>
            <w:shd w:color="4F46E5" w:val="solid"/>
          </w:tcPr>
          <w:p>
            <w:r>
              <w:rPr>
                <w:rFonts w:ascii="Calibri" w:cs="Calibri" w:eastAsia="Calibri" w:hAnsi="Calibri"/>
                <w:b/>
                <w:bCs/>
                <w:color w:val="FFFFFF"/>
                <w:sz w:val="20"/>
                <w:szCs w:val="20"/>
              </w:rPr>
              <w:t xml:space="preserve">Key Limitation</w:t>
            </w:r>
          </w:p>
        </w:tc>
      </w:tr>
      <w:tr>
        <w:tc>
          <w:tcPr>
            <w:tcW w:type="pct" w:w="33.333333333333336%"/>
          </w:tcPr>
          <w:p>
            <w:r>
              <w:rPr>
                <w:rFonts w:ascii="Calibri" w:cs="Calibri" w:eastAsia="Calibri" w:hAnsi="Calibri"/>
                <w:b w:val="false"/>
                <w:bCs w:val="false"/>
                <w:color w:val="333333"/>
                <w:sz w:val="20"/>
                <w:szCs w:val="20"/>
              </w:rPr>
              <w:t xml:space="preserve">Canvas / Blackboard / Moodle</w:t>
            </w:r>
          </w:p>
        </w:tc>
        <w:tc>
          <w:tcPr>
            <w:tcW w:type="pct" w:w="33.333333333333336%"/>
          </w:tcPr>
          <w:p>
            <w:r>
              <w:rPr>
                <w:rFonts w:ascii="Calibri" w:cs="Calibri" w:eastAsia="Calibri" w:hAnsi="Calibri"/>
                <w:b w:val="false"/>
                <w:bCs w:val="false"/>
                <w:color w:val="333333"/>
                <w:sz w:val="20"/>
                <w:szCs w:val="20"/>
              </w:rPr>
              <w:t xml:space="preserve">Content delivery + grade book</w:t>
            </w:r>
          </w:p>
        </w:tc>
        <w:tc>
          <w:tcPr>
            <w:tcW w:type="pct" w:w="33.333333333333336%"/>
          </w:tcPr>
          <w:p>
            <w:r>
              <w:rPr>
                <w:rFonts w:ascii="Calibri" w:cs="Calibri" w:eastAsia="Calibri" w:hAnsi="Calibri"/>
                <w:b w:val="false"/>
                <w:bCs w:val="false"/>
                <w:color w:val="333333"/>
                <w:sz w:val="20"/>
                <w:szCs w:val="20"/>
              </w:rPr>
              <w:t xml:space="preserve">No AI tutoring, no process visibility</w:t>
            </w:r>
          </w:p>
        </w:tc>
      </w:tr>
      <w:tr>
        <w:tc>
          <w:tcPr>
            <w:tcW w:type="pct" w:w="33.333333333333336%"/>
          </w:tcPr>
          <w:p>
            <w:r>
              <w:rPr>
                <w:rFonts w:ascii="Calibri" w:cs="Calibri" w:eastAsia="Calibri" w:hAnsi="Calibri"/>
                <w:b w:val="false"/>
                <w:bCs w:val="false"/>
                <w:color w:val="333333"/>
                <w:sz w:val="20"/>
                <w:szCs w:val="20"/>
              </w:rPr>
              <w:t xml:space="preserve">Turnitin</w:t>
            </w:r>
          </w:p>
        </w:tc>
        <w:tc>
          <w:tcPr>
            <w:tcW w:type="pct" w:w="33.333333333333336%"/>
          </w:tcPr>
          <w:p>
            <w:r>
              <w:rPr>
                <w:rFonts w:ascii="Calibri" w:cs="Calibri" w:eastAsia="Calibri" w:hAnsi="Calibri"/>
                <w:b w:val="false"/>
                <w:bCs w:val="false"/>
                <w:color w:val="333333"/>
                <w:sz w:val="20"/>
                <w:szCs w:val="20"/>
              </w:rPr>
              <w:t xml:space="preserve">Plagiarism detection</w:t>
            </w:r>
          </w:p>
        </w:tc>
        <w:tc>
          <w:tcPr>
            <w:tcW w:type="pct" w:w="33.333333333333336%"/>
          </w:tcPr>
          <w:p>
            <w:r>
              <w:rPr>
                <w:rFonts w:ascii="Calibri" w:cs="Calibri" w:eastAsia="Calibri" w:hAnsi="Calibri"/>
                <w:b w:val="false"/>
                <w:bCs w:val="false"/>
                <w:color w:val="333333"/>
                <w:sz w:val="20"/>
                <w:szCs w:val="20"/>
              </w:rPr>
              <w:t xml:space="preserve">Reactive — catches cheating after the fact</w:t>
            </w:r>
          </w:p>
        </w:tc>
      </w:tr>
      <w:tr>
        <w:tc>
          <w:tcPr>
            <w:tcW w:type="pct" w:w="33.333333333333336%"/>
          </w:tcPr>
          <w:p>
            <w:r>
              <w:rPr>
                <w:rFonts w:ascii="Calibri" w:cs="Calibri" w:eastAsia="Calibri" w:hAnsi="Calibri"/>
                <w:b w:val="false"/>
                <w:bCs w:val="false"/>
                <w:color w:val="333333"/>
                <w:sz w:val="20"/>
                <w:szCs w:val="20"/>
              </w:rPr>
              <w:t xml:space="preserve">ChatGPT / Claude (direct)</w:t>
            </w:r>
          </w:p>
        </w:tc>
        <w:tc>
          <w:tcPr>
            <w:tcW w:type="pct" w:w="33.333333333333336%"/>
          </w:tcPr>
          <w:p>
            <w:r>
              <w:rPr>
                <w:rFonts w:ascii="Calibri" w:cs="Calibri" w:eastAsia="Calibri" w:hAnsi="Calibri"/>
                <w:b w:val="false"/>
                <w:bCs w:val="false"/>
                <w:color w:val="333333"/>
                <w:sz w:val="20"/>
                <w:szCs w:val="20"/>
              </w:rPr>
              <w:t xml:space="preserve">General-purpose AI</w:t>
            </w:r>
          </w:p>
        </w:tc>
        <w:tc>
          <w:tcPr>
            <w:tcW w:type="pct" w:w="33.333333333333336%"/>
          </w:tcPr>
          <w:p>
            <w:r>
              <w:rPr>
                <w:rFonts w:ascii="Calibri" w:cs="Calibri" w:eastAsia="Calibri" w:hAnsi="Calibri"/>
                <w:b w:val="false"/>
                <w:bCs w:val="false"/>
                <w:color w:val="333333"/>
                <w:sz w:val="20"/>
                <w:szCs w:val="20"/>
              </w:rPr>
              <w:t xml:space="preserve">No guardrails, no grading, no visibility</w:t>
            </w:r>
          </w:p>
        </w:tc>
      </w:tr>
      <w:tr>
        <w:tc>
          <w:tcPr>
            <w:tcW w:type="pct" w:w="33.333333333333336%"/>
          </w:tcPr>
          <w:p>
            <w:r>
              <w:rPr>
                <w:rFonts w:ascii="Calibri" w:cs="Calibri" w:eastAsia="Calibri" w:hAnsi="Calibri"/>
                <w:b w:val="false"/>
                <w:bCs w:val="false"/>
                <w:color w:val="333333"/>
                <w:sz w:val="20"/>
                <w:szCs w:val="20"/>
              </w:rPr>
              <w:t xml:space="preserve">Khanmigo</w:t>
            </w:r>
          </w:p>
        </w:tc>
        <w:tc>
          <w:tcPr>
            <w:tcW w:type="pct" w:w="33.333333333333336%"/>
          </w:tcPr>
          <w:p>
            <w:r>
              <w:rPr>
                <w:rFonts w:ascii="Calibri" w:cs="Calibri" w:eastAsia="Calibri" w:hAnsi="Calibri"/>
                <w:b w:val="false"/>
                <w:bCs w:val="false"/>
                <w:color w:val="333333"/>
                <w:sz w:val="20"/>
                <w:szCs w:val="20"/>
              </w:rPr>
              <w:t xml:space="preserve">AI tutor for K-12</w:t>
            </w:r>
          </w:p>
        </w:tc>
        <w:tc>
          <w:tcPr>
            <w:tcW w:type="pct" w:w="33.333333333333336%"/>
          </w:tcPr>
          <w:p>
            <w:r>
              <w:rPr>
                <w:rFonts w:ascii="Calibri" w:cs="Calibri" w:eastAsia="Calibri" w:hAnsi="Calibri"/>
                <w:b w:val="false"/>
                <w:bCs w:val="false"/>
                <w:color w:val="333333"/>
                <w:sz w:val="20"/>
                <w:szCs w:val="20"/>
              </w:rPr>
              <w:t xml:space="preserve">Not designed for higher ed institutions</w:t>
            </w:r>
          </w:p>
        </w:tc>
      </w:tr>
      <w:tr>
        <w:tc>
          <w:tcPr>
            <w:tcW w:type="pct" w:w="33.333333333333336%"/>
          </w:tcPr>
          <w:p>
            <w:r>
              <w:rPr>
                <w:rFonts w:ascii="Calibri" w:cs="Calibri" w:eastAsia="Calibri" w:hAnsi="Calibri"/>
                <w:b w:val="false"/>
                <w:bCs w:val="false"/>
                <w:color w:val="333333"/>
                <w:sz w:val="20"/>
                <w:szCs w:val="20"/>
              </w:rPr>
              <w:t xml:space="preserve">Elevate Learning</w:t>
            </w:r>
          </w:p>
        </w:tc>
        <w:tc>
          <w:tcPr>
            <w:tcW w:type="pct" w:w="33.333333333333336%"/>
          </w:tcPr>
          <w:p>
            <w:r>
              <w:rPr>
                <w:rFonts w:ascii="Calibri" w:cs="Calibri" w:eastAsia="Calibri" w:hAnsi="Calibri"/>
                <w:b w:val="false"/>
                <w:bCs w:val="false"/>
                <w:color w:val="333333"/>
                <w:sz w:val="20"/>
                <w:szCs w:val="20"/>
              </w:rPr>
              <w:t xml:space="preserve">AI-guided learning + process capture</w:t>
            </w:r>
          </w:p>
        </w:tc>
        <w:tc>
          <w:tcPr>
            <w:tcW w:type="pct" w:w="33.333333333333336%"/>
          </w:tcPr>
          <w:p>
            <w:r>
              <w:rPr>
                <w:rFonts w:ascii="Calibri" w:cs="Calibri" w:eastAsia="Calibri" w:hAnsi="Calibri"/>
                <w:b w:val="false"/>
                <w:bCs w:val="false"/>
                <w:color w:val="333333"/>
                <w:sz w:val="20"/>
                <w:szCs w:val="20"/>
              </w:rPr>
              <w:t xml:space="preserve">Purpose-built for higher ed with full instructor authority</w:t>
            </w:r>
          </w:p>
        </w:tc>
      </w:tr>
    </w:tbl>
    <w:p>
      <w:pPr>
        <w:pStyle w:val="Heading1"/>
        <w:spacing w:after="100" w:before="300"/>
      </w:pPr>
      <w:r>
        <w:rPr>
          <w:rFonts w:ascii="Calibri" w:cs="Calibri" w:eastAsia="Calibri" w:hAnsi="Calibri"/>
          <w:b/>
          <w:bCs/>
          <w:color w:val="4F46E5"/>
        </w:rPr>
        <w:t xml:space="preserve">Measurable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4F46E5" w:val="solid"/>
          </w:tcPr>
          <w:p>
            <w:r>
              <w:rPr>
                <w:rFonts w:ascii="Calibri" w:cs="Calibri" w:eastAsia="Calibri" w:hAnsi="Calibri"/>
                <w:b/>
                <w:bCs/>
                <w:color w:val="FFFFFF"/>
                <w:sz w:val="20"/>
                <w:szCs w:val="20"/>
              </w:rPr>
              <w:t xml:space="preserve">Metric</w:t>
            </w:r>
          </w:p>
        </w:tc>
        <w:tc>
          <w:tcPr>
            <w:tcW w:type="pct" w:w="50%"/>
            <w:shd w:color="4F46E5" w:val="solid"/>
          </w:tcPr>
          <w:p>
            <w:r>
              <w:rPr>
                <w:rFonts w:ascii="Calibri" w:cs="Calibri" w:eastAsia="Calibri" w:hAnsi="Calibri"/>
                <w:b/>
                <w:bCs/>
                <w:color w:val="FFFFFF"/>
                <w:sz w:val="20"/>
                <w:szCs w:val="20"/>
              </w:rPr>
              <w:t xml:space="preserve">Expected Impact</w:t>
            </w:r>
          </w:p>
        </w:tc>
      </w:tr>
      <w:tr>
        <w:tc>
          <w:tcPr>
            <w:tcW w:type="pct" w:w="50%"/>
          </w:tcPr>
          <w:p>
            <w:r>
              <w:rPr>
                <w:rFonts w:ascii="Calibri" w:cs="Calibri" w:eastAsia="Calibri" w:hAnsi="Calibri"/>
                <w:b w:val="false"/>
                <w:bCs w:val="false"/>
                <w:color w:val="333333"/>
                <w:sz w:val="20"/>
                <w:szCs w:val="20"/>
              </w:rPr>
              <w:t xml:space="preserve">Instructor grading time</w:t>
            </w:r>
          </w:p>
        </w:tc>
        <w:tc>
          <w:tcPr>
            <w:tcW w:type="pct" w:w="50%"/>
          </w:tcPr>
          <w:p>
            <w:r>
              <w:rPr>
                <w:rFonts w:ascii="Calibri" w:cs="Calibri" w:eastAsia="Calibri" w:hAnsi="Calibri"/>
                <w:b w:val="false"/>
                <w:bCs w:val="false"/>
                <w:color w:val="333333"/>
                <w:sz w:val="20"/>
                <w:szCs w:val="20"/>
              </w:rPr>
              <w:t xml:space="preserve">40–60% reduction</w:t>
            </w:r>
          </w:p>
        </w:tc>
      </w:tr>
      <w:tr>
        <w:tc>
          <w:tcPr>
            <w:tcW w:type="pct" w:w="50%"/>
          </w:tcPr>
          <w:p>
            <w:r>
              <w:rPr>
                <w:rFonts w:ascii="Calibri" w:cs="Calibri" w:eastAsia="Calibri" w:hAnsi="Calibri"/>
                <w:b w:val="false"/>
                <w:bCs w:val="false"/>
                <w:color w:val="333333"/>
                <w:sz w:val="20"/>
                <w:szCs w:val="20"/>
              </w:rPr>
              <w:t xml:space="preserve">Student engagement</w:t>
            </w:r>
          </w:p>
        </w:tc>
        <w:tc>
          <w:tcPr>
            <w:tcW w:type="pct" w:w="50%"/>
          </w:tcPr>
          <w:p>
            <w:r>
              <w:rPr>
                <w:rFonts w:ascii="Calibri" w:cs="Calibri" w:eastAsia="Calibri" w:hAnsi="Calibri"/>
                <w:b w:val="false"/>
                <w:bCs w:val="false"/>
                <w:color w:val="333333"/>
                <w:sz w:val="20"/>
                <w:szCs w:val="20"/>
              </w:rPr>
              <w:t xml:space="preserve">25–35% increase in active learning behaviors</w:t>
            </w:r>
          </w:p>
        </w:tc>
      </w:tr>
      <w:tr>
        <w:tc>
          <w:tcPr>
            <w:tcW w:type="pct" w:w="50%"/>
          </w:tcPr>
          <w:p>
            <w:r>
              <w:rPr>
                <w:rFonts w:ascii="Calibri" w:cs="Calibri" w:eastAsia="Calibri" w:hAnsi="Calibri"/>
                <w:b w:val="false"/>
                <w:bCs w:val="false"/>
                <w:color w:val="333333"/>
                <w:sz w:val="20"/>
                <w:szCs w:val="20"/>
              </w:rPr>
              <w:t xml:space="preserve">Academic integrity incidents</w:t>
            </w:r>
          </w:p>
        </w:tc>
        <w:tc>
          <w:tcPr>
            <w:tcW w:type="pct" w:w="50%"/>
          </w:tcPr>
          <w:p>
            <w:r>
              <w:rPr>
                <w:rFonts w:ascii="Calibri" w:cs="Calibri" w:eastAsia="Calibri" w:hAnsi="Calibri"/>
                <w:b w:val="false"/>
                <w:bCs w:val="false"/>
                <w:color w:val="333333"/>
                <w:sz w:val="20"/>
                <w:szCs w:val="20"/>
              </w:rPr>
              <w:t xml:space="preserve">Significant reduction via proactive process capture</w:t>
            </w:r>
          </w:p>
        </w:tc>
      </w:tr>
      <w:tr>
        <w:tc>
          <w:tcPr>
            <w:tcW w:type="pct" w:w="50%"/>
          </w:tcPr>
          <w:p>
            <w:r>
              <w:rPr>
                <w:rFonts w:ascii="Calibri" w:cs="Calibri" w:eastAsia="Calibri" w:hAnsi="Calibri"/>
                <w:b w:val="false"/>
                <w:bCs w:val="false"/>
                <w:color w:val="333333"/>
                <w:sz w:val="20"/>
                <w:szCs w:val="20"/>
              </w:rPr>
              <w:t xml:space="preserve">Student satisfaction</w:t>
            </w:r>
          </w:p>
        </w:tc>
        <w:tc>
          <w:tcPr>
            <w:tcW w:type="pct" w:w="50%"/>
          </w:tcPr>
          <w:p>
            <w:r>
              <w:rPr>
                <w:rFonts w:ascii="Calibri" w:cs="Calibri" w:eastAsia="Calibri" w:hAnsi="Calibri"/>
                <w:b w:val="false"/>
                <w:bCs w:val="false"/>
                <w:color w:val="333333"/>
                <w:sz w:val="20"/>
                <w:szCs w:val="20"/>
              </w:rPr>
              <w:t xml:space="preserve">Higher feedback quality ratings</w:t>
            </w:r>
          </w:p>
        </w:tc>
      </w:tr>
      <w:tr>
        <w:tc>
          <w:tcPr>
            <w:tcW w:type="pct" w:w="50%"/>
          </w:tcPr>
          <w:p>
            <w:r>
              <w:rPr>
                <w:rFonts w:ascii="Calibri" w:cs="Calibri" w:eastAsia="Calibri" w:hAnsi="Calibri"/>
                <w:b w:val="false"/>
                <w:bCs w:val="false"/>
                <w:color w:val="333333"/>
                <w:sz w:val="20"/>
                <w:szCs w:val="20"/>
              </w:rPr>
              <w:t xml:space="preserve">Accreditation readiness</w:t>
            </w:r>
          </w:p>
        </w:tc>
        <w:tc>
          <w:tcPr>
            <w:tcW w:type="pct" w:w="50%"/>
          </w:tcPr>
          <w:p>
            <w:r>
              <w:rPr>
                <w:rFonts w:ascii="Calibri" w:cs="Calibri" w:eastAsia="Calibri" w:hAnsi="Calibri"/>
                <w:b w:val="false"/>
                <w:bCs w:val="false"/>
                <w:color w:val="333333"/>
                <w:sz w:val="20"/>
                <w:szCs w:val="20"/>
              </w:rPr>
              <w:t xml:space="preserve">Competency evidence at student and program level</w:t>
            </w:r>
          </w:p>
        </w:tc>
      </w:tr>
      <w:tr>
        <w:tc>
          <w:tcPr>
            <w:tcW w:type="pct" w:w="50%"/>
          </w:tcPr>
          <w:p>
            <w:r>
              <w:rPr>
                <w:rFonts w:ascii="Calibri" w:cs="Calibri" w:eastAsia="Calibri" w:hAnsi="Calibri"/>
                <w:b w:val="false"/>
                <w:bCs w:val="false"/>
                <w:color w:val="333333"/>
                <w:sz w:val="20"/>
                <w:szCs w:val="20"/>
              </w:rPr>
              <w:t xml:space="preserve">Student retention</w:t>
            </w:r>
          </w:p>
        </w:tc>
        <w:tc>
          <w:tcPr>
            <w:tcW w:type="pct" w:w="50%"/>
          </w:tcPr>
          <w:p>
            <w:r>
              <w:rPr>
                <w:rFonts w:ascii="Calibri" w:cs="Calibri" w:eastAsia="Calibri" w:hAnsi="Calibri"/>
                <w:b w:val="false"/>
                <w:bCs w:val="false"/>
                <w:color w:val="333333"/>
                <w:sz w:val="20"/>
                <w:szCs w:val="20"/>
              </w:rPr>
              <w:t xml:space="preserve">Early warning signals enable timely intervention</w:t>
            </w:r>
          </w:p>
        </w:tc>
      </w:tr>
    </w:tbl>
    <w:p>
      <w:pPr>
        <w:pStyle w:val="Heading1"/>
        <w:spacing w:after="100" w:before="300"/>
      </w:pPr>
      <w:r>
        <w:rPr>
          <w:rFonts w:ascii="Calibri" w:cs="Calibri" w:eastAsia="Calibri" w:hAnsi="Calibri"/>
          <w:b/>
          <w:bCs/>
          <w:color w:val="4F46E5"/>
        </w:rPr>
        <w:t xml:space="preserve">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color="4F46E5" w:val="solid"/>
          </w:tcPr>
          <w:p>
            <w:r>
              <w:rPr>
                <w:rFonts w:ascii="Calibri" w:cs="Calibri" w:eastAsia="Calibri" w:hAnsi="Calibri"/>
                <w:b/>
                <w:bCs/>
                <w:color w:val="FFFFFF"/>
                <w:sz w:val="20"/>
                <w:szCs w:val="20"/>
              </w:rPr>
              <w:t xml:space="preserve">Phase</w:t>
            </w:r>
          </w:p>
        </w:tc>
        <w:tc>
          <w:tcPr>
            <w:tcW w:type="pct" w:w="33.333333333333336%"/>
            <w:shd w:color="4F46E5" w:val="solid"/>
          </w:tcPr>
          <w:p>
            <w:r>
              <w:rPr>
                <w:rFonts w:ascii="Calibri" w:cs="Calibri" w:eastAsia="Calibri" w:hAnsi="Calibri"/>
                <w:b/>
                <w:bCs/>
                <w:color w:val="FFFFFF"/>
                <w:sz w:val="20"/>
                <w:szCs w:val="20"/>
              </w:rPr>
              <w:t xml:space="preserve">Duration</w:t>
            </w:r>
          </w:p>
        </w:tc>
        <w:tc>
          <w:tcPr>
            <w:tcW w:type="pct" w:w="33.333333333333336%"/>
            <w:shd w:color="4F46E5" w:val="solid"/>
          </w:tcPr>
          <w:p>
            <w:r>
              <w:rPr>
                <w:rFonts w:ascii="Calibri" w:cs="Calibri" w:eastAsia="Calibri" w:hAnsi="Calibri"/>
                <w:b/>
                <w:bCs/>
                <w:color w:val="FFFFFF"/>
                <w:sz w:val="20"/>
                <w:szCs w:val="20"/>
              </w:rPr>
              <w:t xml:space="preserve">Activities</w:t>
            </w:r>
          </w:p>
        </w:tc>
      </w:tr>
      <w:tr>
        <w:tc>
          <w:tcPr>
            <w:tcW w:type="pct" w:w="33.333333333333336%"/>
          </w:tcPr>
          <w:p>
            <w:r>
              <w:rPr>
                <w:rFonts w:ascii="Calibri" w:cs="Calibri" w:eastAsia="Calibri" w:hAnsi="Calibri"/>
                <w:b w:val="false"/>
                <w:bCs w:val="false"/>
                <w:color w:val="333333"/>
                <w:sz w:val="20"/>
                <w:szCs w:val="20"/>
              </w:rPr>
              <w:t xml:space="preserve">Configuration</w:t>
            </w:r>
          </w:p>
        </w:tc>
        <w:tc>
          <w:tcPr>
            <w:tcW w:type="pct" w:w="33.333333333333336%"/>
          </w:tcPr>
          <w:p>
            <w:r>
              <w:rPr>
                <w:rFonts w:ascii="Calibri" w:cs="Calibri" w:eastAsia="Calibri" w:hAnsi="Calibri"/>
                <w:b w:val="false"/>
                <w:bCs w:val="false"/>
                <w:color w:val="333333"/>
                <w:sz w:val="20"/>
                <w:szCs w:val="20"/>
              </w:rPr>
              <w:t xml:space="preserve">1 week</w:t>
            </w:r>
          </w:p>
        </w:tc>
        <w:tc>
          <w:tcPr>
            <w:tcW w:type="pct" w:w="33.333333333333336%"/>
          </w:tcPr>
          <w:p>
            <w:r>
              <w:rPr>
                <w:rFonts w:ascii="Calibri" w:cs="Calibri" w:eastAsia="Calibri" w:hAnsi="Calibri"/>
                <w:b w:val="false"/>
                <w:bCs w:val="false"/>
                <w:color w:val="333333"/>
                <w:sz w:val="20"/>
                <w:szCs w:val="20"/>
              </w:rPr>
              <w:t xml:space="preserve">Auth setup, database provisioning, LTI registration</w:t>
            </w:r>
          </w:p>
        </w:tc>
      </w:tr>
      <w:tr>
        <w:tc>
          <w:tcPr>
            <w:tcW w:type="pct" w:w="33.333333333333336%"/>
          </w:tcPr>
          <w:p>
            <w:r>
              <w:rPr>
                <w:rFonts w:ascii="Calibri" w:cs="Calibri" w:eastAsia="Calibri" w:hAnsi="Calibri"/>
                <w:b w:val="false"/>
                <w:bCs w:val="false"/>
                <w:color w:val="333333"/>
                <w:sz w:val="20"/>
                <w:szCs w:val="20"/>
              </w:rPr>
              <w:t xml:space="preserve">Pilot</w:t>
            </w:r>
          </w:p>
        </w:tc>
        <w:tc>
          <w:tcPr>
            <w:tcW w:type="pct" w:w="33.333333333333336%"/>
          </w:tcPr>
          <w:p>
            <w:r>
              <w:rPr>
                <w:rFonts w:ascii="Calibri" w:cs="Calibri" w:eastAsia="Calibri" w:hAnsi="Calibri"/>
                <w:b w:val="false"/>
                <w:bCs w:val="false"/>
                <w:color w:val="333333"/>
                <w:sz w:val="20"/>
                <w:szCs w:val="20"/>
              </w:rPr>
              <w:t xml:space="preserve">4–6 weeks</w:t>
            </w:r>
          </w:p>
        </w:tc>
        <w:tc>
          <w:tcPr>
            <w:tcW w:type="pct" w:w="33.333333333333336%"/>
          </w:tcPr>
          <w:p>
            <w:r>
              <w:rPr>
                <w:rFonts w:ascii="Calibri" w:cs="Calibri" w:eastAsia="Calibri" w:hAnsi="Calibri"/>
                <w:b w:val="false"/>
                <w:bCs w:val="false"/>
                <w:color w:val="333333"/>
                <w:sz w:val="20"/>
                <w:szCs w:val="20"/>
              </w:rPr>
              <w:t xml:space="preserve">2–3 courses, 50–200 students, instructor training</w:t>
            </w:r>
          </w:p>
        </w:tc>
      </w:tr>
      <w:tr>
        <w:tc>
          <w:tcPr>
            <w:tcW w:type="pct" w:w="33.333333333333336%"/>
          </w:tcPr>
          <w:p>
            <w:r>
              <w:rPr>
                <w:rFonts w:ascii="Calibri" w:cs="Calibri" w:eastAsia="Calibri" w:hAnsi="Calibri"/>
                <w:b w:val="false"/>
                <w:bCs w:val="false"/>
                <w:color w:val="333333"/>
                <w:sz w:val="20"/>
                <w:szCs w:val="20"/>
              </w:rPr>
              <w:t xml:space="preserve">Evaluation</w:t>
            </w:r>
          </w:p>
        </w:tc>
        <w:tc>
          <w:tcPr>
            <w:tcW w:type="pct" w:w="33.333333333333336%"/>
          </w:tcPr>
          <w:p>
            <w:r>
              <w:rPr>
                <w:rFonts w:ascii="Calibri" w:cs="Calibri" w:eastAsia="Calibri" w:hAnsi="Calibri"/>
                <w:b w:val="false"/>
                <w:bCs w:val="false"/>
                <w:color w:val="333333"/>
                <w:sz w:val="20"/>
                <w:szCs w:val="20"/>
              </w:rPr>
              <w:t xml:space="preserve">2 weeks</w:t>
            </w:r>
          </w:p>
        </w:tc>
        <w:tc>
          <w:tcPr>
            <w:tcW w:type="pct" w:w="33.333333333333336%"/>
          </w:tcPr>
          <w:p>
            <w:r>
              <w:rPr>
                <w:rFonts w:ascii="Calibri" w:cs="Calibri" w:eastAsia="Calibri" w:hAnsi="Calibri"/>
                <w:b w:val="false"/>
                <w:bCs w:val="false"/>
                <w:color w:val="333333"/>
                <w:sz w:val="20"/>
                <w:szCs w:val="20"/>
              </w:rPr>
              <w:t xml:space="preserve">Analyze time savings, engagement, grading consistency</w:t>
            </w:r>
          </w:p>
        </w:tc>
      </w:tr>
      <w:tr>
        <w:tc>
          <w:tcPr>
            <w:tcW w:type="pct" w:w="33.333333333333336%"/>
          </w:tcPr>
          <w:p>
            <w:r>
              <w:rPr>
                <w:rFonts w:ascii="Calibri" w:cs="Calibri" w:eastAsia="Calibri" w:hAnsi="Calibri"/>
                <w:b w:val="false"/>
                <w:bCs w:val="false"/>
                <w:color w:val="333333"/>
                <w:sz w:val="20"/>
                <w:szCs w:val="20"/>
              </w:rPr>
              <w:t xml:space="preserve">Scale</w:t>
            </w:r>
          </w:p>
        </w:tc>
        <w:tc>
          <w:tcPr>
            <w:tcW w:type="pct" w:w="33.333333333333336%"/>
          </w:tcPr>
          <w:p>
            <w:r>
              <w:rPr>
                <w:rFonts w:ascii="Calibri" w:cs="Calibri" w:eastAsia="Calibri" w:hAnsi="Calibri"/>
                <w:b w:val="false"/>
                <w:bCs w:val="false"/>
                <w:color w:val="333333"/>
                <w:sz w:val="20"/>
                <w:szCs w:val="20"/>
              </w:rPr>
              <w:t xml:space="preserve">Ongoing</w:t>
            </w:r>
          </w:p>
        </w:tc>
        <w:tc>
          <w:tcPr>
            <w:tcW w:type="pct" w:w="33.333333333333336%"/>
          </w:tcPr>
          <w:p>
            <w:r>
              <w:rPr>
                <w:rFonts w:ascii="Calibri" w:cs="Calibri" w:eastAsia="Calibri" w:hAnsi="Calibri"/>
                <w:b w:val="false"/>
                <w:bCs w:val="false"/>
                <w:color w:val="333333"/>
                <w:sz w:val="20"/>
                <w:szCs w:val="20"/>
              </w:rPr>
              <w:t xml:space="preserve">Roll out to additional departments based on pilot results</w:t>
            </w:r>
          </w:p>
        </w:tc>
      </w:tr>
    </w:tbl>
    <w:p>
      <w:pPr>
        <w:spacing w:after="120"/>
      </w:pPr>
      <w:r>
        <w:rPr>
          <w:rFonts w:ascii="Calibri" w:cs="Calibri" w:eastAsia="Calibri" w:hAnsi="Calibri"/>
          <w:color w:val="333333"/>
          <w:sz w:val="22"/>
          <w:szCs w:val="22"/>
        </w:rPr>
        <w:t xml:space="preserve"/>
      </w:r>
    </w:p>
    <w:p>
      <w:pPr>
        <w:spacing w:before="400"/>
        <w:jc w:val="center"/>
      </w:pPr>
      <w:r>
        <w:rPr>
          <w:b/>
          <w:bCs/>
          <w:color w:val="4F46E5"/>
          <w:sz w:val="28"/>
          <w:szCs w:val="28"/>
        </w:rPr>
        <w:t xml:space="preserve">Elevate Learning with AI</w:t>
      </w:r>
    </w:p>
    <w:p>
      <w:pPr>
        <w:spacing w:after="100"/>
        <w:jc w:val="center"/>
      </w:pPr>
      <w:r>
        <w:rPr>
          <w:i/>
          <w:iCs/>
          <w:color w:val="94A3B8"/>
          <w:sz w:val="22"/>
          <w:szCs w:val="22"/>
        </w:rPr>
        <w:t xml:space="preserve">Because the future of education isn't AI replacing teachers.</w:t>
      </w:r>
    </w:p>
    <w:p>
      <w:pPr>
        <w:jc w:val="center"/>
      </w:pPr>
      <w:r>
        <w:rPr>
          <w:i/>
          <w:iCs/>
          <w:color w:val="94A3B8"/>
          <w:sz w:val="22"/>
          <w:szCs w:val="22"/>
        </w:rPr>
        <w:t xml:space="preserve">It's AI making every student-teacher interaction more informed, more intentional, and more effective.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Confidential  |  © 2026 Elevate Learning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4A3B8"/>
        <w:sz w:val="18"/>
        <w:szCs w:val="18"/>
      </w:rPr>
      <w:t xml:space="preserve">ELEVATE LEARNING WITH AI  |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2026-03-09T04:39:32.897Z</dcterms:created>
  <dcterms:modified xsi:type="dcterms:W3CDTF">2026-03-09T04:39:32.900Z</dcterms:modified>
</cp:coreProperties>
</file>

<file path=docProps/custom.xml><?xml version="1.0" encoding="utf-8"?>
<Properties xmlns="http://schemas.openxmlformats.org/officeDocument/2006/custom-properties" xmlns:vt="http://schemas.openxmlformats.org/officeDocument/2006/docPropsVTypes"/>
</file>