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6492240" cy="2019808"/>
            <wp:docPr id="1" name="Picture 1"/>
            <wp:cNvGraphicFramePr>
              <a:graphicFrameLocks noChangeAspect="1"/>
            </wp:cNvGraphicFramePr>
            <a:graphic>
              <a:graphicData uri="http://schemas.openxmlformats.org/drawingml/2006/picture">
                <pic:pic>
                  <pic:nvPicPr>
                    <pic:cNvPr id="0" name="uct_gsb_case_banner.png"/>
                    <pic:cNvPicPr/>
                  </pic:nvPicPr>
                  <pic:blipFill>
                    <a:blip r:embed="rId11"/>
                    <a:stretch>
                      <a:fillRect/>
                    </a:stretch>
                  </pic:blipFill>
                  <pic:spPr>
                    <a:xfrm>
                      <a:off x="0" y="0"/>
                      <a:ext cx="6492240" cy="2019808"/>
                    </a:xfrm>
                    <a:prstGeom prst="rect"/>
                  </pic:spPr>
                </pic:pic>
              </a:graphicData>
            </a:graphic>
          </wp:inline>
        </w:drawing>
      </w:r>
    </w:p>
    <w:tbl>
      <w:tblPr>
        <w:tblW w:type="auto" w:w="0"/>
        <w:jc w:val="center"/>
        <w:tblLayout w:type="fixed"/>
        <w:tblLook w:firstColumn="1" w:firstRow="1" w:lastColumn="0" w:lastRow="0" w:noHBand="0" w:noVBand="1" w:val="04A0"/>
      </w:tblPr>
      <w:tblGrid>
        <w:gridCol w:w="10080"/>
      </w:tblGrid>
      <w:tr>
        <w:tc>
          <w:tcPr>
            <w:tcW w:type="dxa" w:w="10239"/>
            <w:shd w:fill="002F49"/>
            <w:tcMar>
              <w:top w:w="85" w:type="dxa"/>
              <w:start w:w="110" w:type="dxa"/>
              <w:bottom w:w="85" w:type="dxa"/>
              <w:end w:w="110" w:type="dxa"/>
            </w:tcMar>
          </w:tcPr>
          <w:p>
            <w:pPr>
              <w:pStyle w:val="CaseLabel"/>
              <w:jc w:val="center"/>
            </w:pPr>
            <w:r>
              <w:t>SYNTHETIC EXECUTIVE TRAINING CASE  •  CASE 01</w:t>
            </w:r>
          </w:p>
        </w:tc>
      </w:tr>
    </w:tbl>
    <w:p>
      <w:pPr>
        <w:pStyle w:val="Title"/>
        <w:spacing w:before="360" w:after="100"/>
        <w:jc w:val="center"/>
      </w:pPr>
      <w:r>
        <w:t>TNM MXIT MXIT BUNDLE PERFORMANCE</w:t>
        <w:br/>
        <w:t>AND CUSTOMER RETENTION ANALYSIS</w:t>
      </w:r>
    </w:p>
    <w:p>
      <w:pPr>
        <w:pStyle w:val="Subtitle"/>
        <w:spacing w:after="200"/>
        <w:jc w:val="center"/>
      </w:pPr>
      <w:r>
        <w:t>From Customer Data to Commercial Decisions</w:t>
      </w:r>
    </w:p>
    <w:tbl>
      <w:tblPr>
        <w:tblW w:type="auto" w:w="0"/>
        <w:jc w:val="center"/>
        <w:tblLayout w:type="fixed"/>
        <w:tblLook w:firstColumn="1" w:firstRow="1" w:lastColumn="0" w:lastRow="0" w:noHBand="0" w:noVBand="1" w:val="04A0"/>
      </w:tblPr>
      <w:tblGrid>
        <w:gridCol w:w="9576"/>
      </w:tblGrid>
      <w:tr>
        <w:tc>
          <w:tcPr>
            <w:tcW w:type="dxa" w:w="10239"/>
            <w:shd w:fill="EAF4FA"/>
            <w:tcMar>
              <w:top w:w="150" w:type="dxa"/>
              <w:start w:w="180" w:type="dxa"/>
              <w:bottom w:w="150" w:type="dxa"/>
              <w:end w:w="180" w:type="dxa"/>
            </w:tcMar>
            <w:tcBorders>
              <w:top w:val="single" w:sz="15" w:color="169BD5"/>
              <w:left w:val="single" w:sz="15" w:color="169BD5"/>
              <w:bottom w:val="single" w:sz="15" w:color="169BD5"/>
              <w:right w:val="single" w:sz="15" w:color="169BD5"/>
            </w:tcBorders>
          </w:tcPr>
          <w:p>
            <w:pPr>
              <w:jc w:val="center"/>
            </w:pPr>
            <w:r>
              <w:rPr>
                <w:rFonts w:ascii="Arial" w:hAnsi="Arial"/>
                <w:color w:val="1F2D35"/>
                <w:sz w:val="23"/>
              </w:rPr>
              <w:t>A practical analytics case in which participants will explore bundle sales, usage, customer experience and retention using a realistic synthetic dataset, then build management dashboards in Microsoft Excel and interactive HTML.</w:t>
            </w:r>
          </w:p>
        </w:tc>
      </w:tr>
    </w:tbl>
    <w:p>
      <w:pPr>
        <w:spacing w:before="360" w:after="40"/>
        <w:jc w:val="center"/>
      </w:pPr>
      <w:r>
        <w:rPr>
          <w:b/>
          <w:color w:val="002F49"/>
          <w:sz w:val="21"/>
        </w:rPr>
        <w:t>UCT GRADUATE SCHOOL OF BUSINESS • EXECUTIVE EDUCATION</w:t>
      </w:r>
    </w:p>
    <w:tbl>
      <w:tblPr>
        <w:tblW w:type="auto" w:w="0"/>
        <w:jc w:val="center"/>
        <w:tblLayout w:type="fixed"/>
        <w:tblLook w:firstColumn="1" w:firstRow="1" w:lastColumn="0" w:lastRow="0" w:noHBand="0" w:noVBand="1" w:val="04A0"/>
      </w:tblPr>
      <w:tblGrid>
        <w:gridCol w:w="1944"/>
        <w:gridCol w:w="6768"/>
      </w:tblGrid>
      <w:tr>
        <w:tc>
          <w:tcPr>
            <w:tcW w:type="dxa" w:w="5119"/>
            <w:tcMar>
              <w:top w:w="45" w:type="dxa"/>
              <w:start w:w="70" w:type="dxa"/>
              <w:bottom w:w="45" w:type="dxa"/>
              <w:end w:w="70" w:type="dxa"/>
            </w:tcMar>
            <w:tcBorders>
              <w:top w:val="nil"/>
              <w:left w:val="nil"/>
              <w:bottom w:val="nil"/>
              <w:right w:val="nil"/>
            </w:tcBorders>
          </w:tcPr>
          <w:p>
            <w:pPr>
              <w:jc w:val="right"/>
            </w:pPr>
            <w:r>
              <w:rPr>
                <w:b/>
                <w:color w:val="687781"/>
                <w:sz w:val="20"/>
              </w:rPr>
              <w:t>Prepared for:</w:t>
            </w:r>
          </w:p>
        </w:tc>
        <w:tc>
          <w:tcPr>
            <w:tcW w:type="dxa" w:w="5119"/>
            <w:tcMar>
              <w:top w:w="45" w:type="dxa"/>
              <w:start w:w="70" w:type="dxa"/>
              <w:bottom w:w="45" w:type="dxa"/>
              <w:end w:w="70" w:type="dxa"/>
            </w:tcMar>
            <w:tcBorders>
              <w:top w:val="nil"/>
              <w:left w:val="nil"/>
              <w:bottom w:val="nil"/>
              <w:right w:val="nil"/>
            </w:tcBorders>
          </w:tcPr>
          <w:p>
            <w:r>
              <w:rPr>
                <w:b w:val="0"/>
                <w:color w:val="1F2D35"/>
                <w:sz w:val="20"/>
              </w:rPr>
              <w:t>Telekom Networks Malawi (TNM) Executive Cohort</w:t>
            </w:r>
          </w:p>
        </w:tc>
      </w:tr>
      <w:tr>
        <w:tc>
          <w:tcPr>
            <w:tcW w:type="dxa" w:w="5119"/>
            <w:tcMar>
              <w:top w:w="45" w:type="dxa"/>
              <w:start w:w="70" w:type="dxa"/>
              <w:bottom w:w="45" w:type="dxa"/>
              <w:end w:w="70" w:type="dxa"/>
            </w:tcMar>
            <w:tcBorders>
              <w:top w:val="nil"/>
              <w:left w:val="nil"/>
              <w:bottom w:val="nil"/>
              <w:right w:val="nil"/>
            </w:tcBorders>
          </w:tcPr>
          <w:p>
            <w:pPr>
              <w:jc w:val="right"/>
            </w:pPr>
            <w:r>
              <w:rPr>
                <w:b/>
                <w:color w:val="687781"/>
                <w:sz w:val="20"/>
              </w:rPr>
              <w:t>Programme:</w:t>
            </w:r>
          </w:p>
        </w:tc>
        <w:tc>
          <w:tcPr>
            <w:tcW w:type="dxa" w:w="5119"/>
            <w:tcMar>
              <w:top w:w="45" w:type="dxa"/>
              <w:start w:w="70" w:type="dxa"/>
              <w:bottom w:w="45" w:type="dxa"/>
              <w:end w:w="70" w:type="dxa"/>
            </w:tcMar>
            <w:tcBorders>
              <w:top w:val="nil"/>
              <w:left w:val="nil"/>
              <w:bottom w:val="nil"/>
              <w:right w:val="nil"/>
            </w:tcBorders>
          </w:tcPr>
          <w:p>
            <w:r>
              <w:rPr>
                <w:b/>
                <w:color w:val="1F2D35"/>
                <w:sz w:val="20"/>
              </w:rPr>
              <w:t>AI Leadership in Action</w:t>
            </w:r>
          </w:p>
        </w:tc>
      </w:tr>
      <w:tr>
        <w:tc>
          <w:tcPr>
            <w:tcW w:type="dxa" w:w="5119"/>
            <w:tcMar>
              <w:top w:w="45" w:type="dxa"/>
              <w:start w:w="70" w:type="dxa"/>
              <w:bottom w:w="45" w:type="dxa"/>
              <w:end w:w="70" w:type="dxa"/>
            </w:tcMar>
            <w:tcBorders>
              <w:top w:val="nil"/>
              <w:left w:val="nil"/>
              <w:bottom w:val="nil"/>
              <w:right w:val="nil"/>
            </w:tcBorders>
          </w:tcPr>
          <w:p>
            <w:pPr>
              <w:jc w:val="right"/>
            </w:pPr>
            <w:r>
              <w:rPr>
                <w:b/>
                <w:color w:val="687781"/>
                <w:sz w:val="20"/>
              </w:rPr>
              <w:t>Dates:</w:t>
            </w:r>
          </w:p>
        </w:tc>
        <w:tc>
          <w:tcPr>
            <w:tcW w:type="dxa" w:w="5119"/>
            <w:tcMar>
              <w:top w:w="45" w:type="dxa"/>
              <w:start w:w="70" w:type="dxa"/>
              <w:bottom w:w="45" w:type="dxa"/>
              <w:end w:w="70" w:type="dxa"/>
            </w:tcMar>
            <w:tcBorders>
              <w:top w:val="nil"/>
              <w:left w:val="nil"/>
              <w:bottom w:val="nil"/>
              <w:right w:val="nil"/>
            </w:tcBorders>
          </w:tcPr>
          <w:p>
            <w:r>
              <w:rPr>
                <w:b w:val="0"/>
                <w:color w:val="1F2D35"/>
                <w:sz w:val="20"/>
              </w:rPr>
              <w:t>15–17 July 2026</w:t>
            </w:r>
          </w:p>
        </w:tc>
      </w:tr>
      <w:tr>
        <w:tc>
          <w:tcPr>
            <w:tcW w:type="dxa" w:w="5119"/>
            <w:tcMar>
              <w:top w:w="45" w:type="dxa"/>
              <w:start w:w="70" w:type="dxa"/>
              <w:bottom w:w="45" w:type="dxa"/>
              <w:end w:w="70" w:type="dxa"/>
            </w:tcMar>
            <w:tcBorders>
              <w:top w:val="nil"/>
              <w:left w:val="nil"/>
              <w:bottom w:val="nil"/>
              <w:right w:val="nil"/>
            </w:tcBorders>
          </w:tcPr>
          <w:p>
            <w:pPr>
              <w:jc w:val="right"/>
            </w:pPr>
            <w:r>
              <w:rPr>
                <w:b/>
                <w:color w:val="687781"/>
                <w:sz w:val="20"/>
              </w:rPr>
              <w:t>Venue:</w:t>
            </w:r>
          </w:p>
        </w:tc>
        <w:tc>
          <w:tcPr>
            <w:tcW w:type="dxa" w:w="5119"/>
            <w:tcMar>
              <w:top w:w="45" w:type="dxa"/>
              <w:start w:w="70" w:type="dxa"/>
              <w:bottom w:w="45" w:type="dxa"/>
              <w:end w:w="70" w:type="dxa"/>
            </w:tcMar>
            <w:tcBorders>
              <w:top w:val="nil"/>
              <w:left w:val="nil"/>
              <w:bottom w:val="nil"/>
              <w:right w:val="nil"/>
            </w:tcBorders>
          </w:tcPr>
          <w:p>
            <w:r>
              <w:rPr>
                <w:b w:val="0"/>
                <w:color w:val="1F2D35"/>
                <w:sz w:val="20"/>
              </w:rPr>
              <w:t>UCT Graduate School of Business, Cape Town</w:t>
            </w:r>
          </w:p>
        </w:tc>
      </w:tr>
      <w:tr>
        <w:tc>
          <w:tcPr>
            <w:tcW w:type="dxa" w:w="5119"/>
            <w:tcMar>
              <w:top w:w="45" w:type="dxa"/>
              <w:start w:w="70" w:type="dxa"/>
              <w:bottom w:w="45" w:type="dxa"/>
              <w:end w:w="70" w:type="dxa"/>
            </w:tcMar>
            <w:tcBorders>
              <w:top w:val="nil"/>
              <w:left w:val="nil"/>
              <w:bottom w:val="nil"/>
              <w:right w:val="nil"/>
            </w:tcBorders>
          </w:tcPr>
          <w:p>
            <w:pPr>
              <w:jc w:val="right"/>
            </w:pPr>
            <w:r>
              <w:rPr>
                <w:b/>
                <w:color w:val="687781"/>
                <w:sz w:val="20"/>
              </w:rPr>
              <w:t>Facilitator:</w:t>
            </w:r>
          </w:p>
        </w:tc>
        <w:tc>
          <w:tcPr>
            <w:tcW w:type="dxa" w:w="5119"/>
            <w:tcMar>
              <w:top w:w="45" w:type="dxa"/>
              <w:start w:w="70" w:type="dxa"/>
              <w:bottom w:w="45" w:type="dxa"/>
              <w:end w:w="70" w:type="dxa"/>
            </w:tcMar>
            <w:tcBorders>
              <w:top w:val="nil"/>
              <w:left w:val="nil"/>
              <w:bottom w:val="nil"/>
              <w:right w:val="nil"/>
            </w:tcBorders>
          </w:tcPr>
          <w:p>
            <w:r>
              <w:rPr>
                <w:b/>
                <w:color w:val="1F2D35"/>
                <w:sz w:val="20"/>
              </w:rPr>
              <w:t>Professor Abejide Ade-Ibijola</w:t>
            </w:r>
          </w:p>
        </w:tc>
      </w:tr>
    </w:tbl>
    <w:p>
      <w:pPr>
        <w:spacing w:before="360"/>
        <w:jc w:val="center"/>
      </w:pPr>
      <w:r>
        <w:rPr>
          <w:i/>
          <w:color w:val="687781"/>
          <w:sz w:val="17"/>
        </w:rPr>
        <w:t>Training-use document  •  All customer data used in the exercise are fictional and synthetically generated.</w:t>
      </w:r>
    </w:p>
    <w:p>
      <w:r>
        <w:br w:type="page"/>
      </w:r>
    </w:p>
    <w:p>
      <w:pPr>
        <w:pStyle w:val="Heading1"/>
      </w:pPr>
      <w:r>
        <w:t>1 • CASE OVERVIEW</w:t>
      </w:r>
    </w:p>
    <w:tbl>
      <w:tblPr>
        <w:tblW w:type="auto" w:w="0"/>
        <w:jc w:val="center"/>
        <w:tblLayout w:type="fixed"/>
        <w:tblLook w:firstColumn="1" w:firstRow="1" w:lastColumn="0" w:lastRow="0" w:noHBand="0" w:noVBand="1" w:val="04A0"/>
      </w:tblPr>
      <w:tblGrid>
        <w:gridCol w:w="2376"/>
        <w:gridCol w:w="7488"/>
      </w:tblGrid>
      <w:tr>
        <w:tc>
          <w:tcPr>
            <w:tcW w:type="dxa" w:w="5119"/>
            <w:shd w:fill="002F49"/>
            <w:tcMar>
              <w:top w:w="90" w:type="dxa"/>
              <w:start w:w="100" w:type="dxa"/>
              <w:bottom w:w="90" w:type="dxa"/>
              <w:end w:w="100" w:type="dxa"/>
            </w:tcMar>
            <w:tcBorders>
              <w:top w:val="single" w:sz="5" w:color="B9CEDA"/>
              <w:left w:val="single" w:sz="5" w:color="B9CEDA"/>
              <w:bottom w:val="single" w:sz="5" w:color="B9CEDA"/>
              <w:right w:val="single" w:sz="5" w:color="B9CEDA"/>
            </w:tcBorders>
            <w:vAlign w:val="center"/>
          </w:tcPr>
          <w:p>
            <w:r>
              <w:rPr>
                <w:b/>
                <w:color w:val="FFFFFF"/>
                <w:sz w:val="19"/>
              </w:rPr>
              <w:t>Organisation</w:t>
            </w:r>
          </w:p>
        </w:tc>
        <w:tc>
          <w:tcPr>
            <w:tcW w:type="dxa" w:w="5119"/>
            <w:shd w:fill="F4F8FB"/>
            <w:tcMar>
              <w:top w:w="90" w:type="dxa"/>
              <w:start w:w="110" w:type="dxa"/>
              <w:bottom w:w="90" w:type="dxa"/>
              <w:end w:w="110" w:type="dxa"/>
            </w:tcMar>
            <w:tcBorders>
              <w:top w:val="single" w:sz="5" w:color="B9CEDA"/>
              <w:left w:val="single" w:sz="5" w:color="B9CEDA"/>
              <w:bottom w:val="single" w:sz="5" w:color="B9CEDA"/>
              <w:right w:val="single" w:sz="5" w:color="B9CEDA"/>
            </w:tcBorders>
            <w:vAlign w:val="center"/>
          </w:tcPr>
          <w:p>
            <w:r>
              <w:rPr>
                <w:color w:val="1F2D35"/>
                <w:sz w:val="19"/>
              </w:rPr>
              <w:t>Telekom Networks Malawi Plc (TNM)</w:t>
            </w:r>
          </w:p>
        </w:tc>
      </w:tr>
      <w:tr>
        <w:tc>
          <w:tcPr>
            <w:tcW w:type="dxa" w:w="5119"/>
            <w:shd w:fill="DCEAF2"/>
            <w:tcMar>
              <w:top w:w="90" w:type="dxa"/>
              <w:start w:w="100" w:type="dxa"/>
              <w:bottom w:w="90" w:type="dxa"/>
              <w:end w:w="100" w:type="dxa"/>
            </w:tcMar>
            <w:tcBorders>
              <w:top w:val="single" w:sz="5" w:color="B9CEDA"/>
              <w:left w:val="single" w:sz="5" w:color="B9CEDA"/>
              <w:bottom w:val="single" w:sz="5" w:color="B9CEDA"/>
              <w:right w:val="single" w:sz="5" w:color="B9CEDA"/>
            </w:tcBorders>
            <w:vAlign w:val="center"/>
          </w:tcPr>
          <w:p>
            <w:r>
              <w:rPr>
                <w:b/>
                <w:color w:val="002F49"/>
                <w:sz w:val="19"/>
              </w:rPr>
              <w:t>Service focus</w:t>
            </w:r>
          </w:p>
        </w:tc>
        <w:tc>
          <w:tcPr>
            <w:tcW w:type="dxa" w:w="5119"/>
            <w:shd w:fill="FFFFFF"/>
            <w:tcMar>
              <w:top w:w="90" w:type="dxa"/>
              <w:start w:w="110" w:type="dxa"/>
              <w:bottom w:w="90" w:type="dxa"/>
              <w:end w:w="110" w:type="dxa"/>
            </w:tcMar>
            <w:tcBorders>
              <w:top w:val="single" w:sz="5" w:color="B9CEDA"/>
              <w:left w:val="single" w:sz="5" w:color="B9CEDA"/>
              <w:bottom w:val="single" w:sz="5" w:color="B9CEDA"/>
              <w:right w:val="single" w:sz="5" w:color="B9CEDA"/>
            </w:tcBorders>
            <w:vAlign w:val="center"/>
          </w:tcPr>
          <w:p>
            <w:r>
              <w:rPr>
                <w:color w:val="1F2D35"/>
                <w:sz w:val="19"/>
              </w:rPr>
              <w:t>Mxit Mxit prepaid bundles combining mobile data, voice minutes and SMS allowances</w:t>
            </w:r>
          </w:p>
        </w:tc>
      </w:tr>
      <w:tr>
        <w:tc>
          <w:tcPr>
            <w:tcW w:type="dxa" w:w="5119"/>
            <w:shd w:fill="DCEAF2"/>
            <w:tcMar>
              <w:top w:w="90" w:type="dxa"/>
              <w:start w:w="100" w:type="dxa"/>
              <w:bottom w:w="90" w:type="dxa"/>
              <w:end w:w="100" w:type="dxa"/>
            </w:tcMar>
            <w:tcBorders>
              <w:top w:val="single" w:sz="5" w:color="B9CEDA"/>
              <w:left w:val="single" w:sz="5" w:color="B9CEDA"/>
              <w:bottom w:val="single" w:sz="5" w:color="B9CEDA"/>
              <w:right w:val="single" w:sz="5" w:color="B9CEDA"/>
            </w:tcBorders>
            <w:vAlign w:val="center"/>
          </w:tcPr>
          <w:p>
            <w:r>
              <w:rPr>
                <w:b/>
                <w:color w:val="002F49"/>
                <w:sz w:val="19"/>
              </w:rPr>
              <w:t>Analytics focus</w:t>
            </w:r>
          </w:p>
        </w:tc>
        <w:tc>
          <w:tcPr>
            <w:tcW w:type="dxa" w:w="5119"/>
            <w:shd w:fill="F4F8FB"/>
            <w:tcMar>
              <w:top w:w="90" w:type="dxa"/>
              <w:start w:w="110" w:type="dxa"/>
              <w:bottom w:w="90" w:type="dxa"/>
              <w:end w:w="110" w:type="dxa"/>
            </w:tcMar>
            <w:tcBorders>
              <w:top w:val="single" w:sz="5" w:color="B9CEDA"/>
              <w:left w:val="single" w:sz="5" w:color="B9CEDA"/>
              <w:bottom w:val="single" w:sz="5" w:color="B9CEDA"/>
              <w:right w:val="single" w:sz="5" w:color="B9CEDA"/>
            </w:tcBorders>
            <w:vAlign w:val="center"/>
          </w:tcPr>
          <w:p>
            <w:r>
              <w:rPr>
                <w:color w:val="1F2D35"/>
                <w:sz w:val="19"/>
              </w:rPr>
              <w:t>Commercial performance, customer behaviour, network experience, satisfaction and retention</w:t>
            </w:r>
          </w:p>
        </w:tc>
      </w:tr>
    </w:tbl>
    <w:p>
      <w:pPr>
        <w:pStyle w:val="Heading2"/>
      </w:pPr>
      <w:r>
        <w:t>Background</w:t>
      </w:r>
    </w:p>
    <w:p>
      <w:r>
        <w:t>TNM offers Mxit Mxit bundles that package mobile data, voice minutes and SMS allowances into prepaid options with different prices and validity periods. Customers can purchase internet bundles through channels including USSD and the TNM Smart App. For a telecommunications operator, however, sales volumes alone do not explain whether a product is creating sustainable value. Management also needs to understand who buys each bundle, how customers use the allowances, whether network experience affects satisfaction, and what drives customers to purchase again or become inactive.</w:t>
      </w:r>
    </w:p>
    <w:p>
      <w:pPr>
        <w:pStyle w:val="Heading2"/>
      </w:pPr>
      <w:r>
        <w:t>The Business Challenge</w:t>
      </w:r>
    </w:p>
    <w:p>
      <w:r>
        <w:t>TNM’s commercial and customer-experience teams want a clearer, evidence-based view of Mxit Mxit bundle performance across Malawi. The organisation needs to identify high-performing products and locations, detect customers who may stop purchasing, understand the impact of service quality on retention, and find opportunities to grow digital-channel adoption. The analysis should convert detailed customer and transaction data into a concise set of management insights and actions.</w:t>
      </w:r>
    </w:p>
    <w:tbl>
      <w:tblPr>
        <w:tblW w:type="auto" w:w="0"/>
        <w:jc w:val="center"/>
        <w:tblLayout w:type="fixed"/>
        <w:tblLook w:firstColumn="1" w:firstRow="1" w:lastColumn="0" w:lastRow="0" w:noHBand="0" w:noVBand="1" w:val="04A0"/>
      </w:tblPr>
      <w:tblGrid>
        <w:gridCol w:w="9864"/>
      </w:tblGrid>
      <w:tr>
        <w:tc>
          <w:tcPr>
            <w:tcW w:type="dxa" w:w="10239"/>
            <w:shd w:fill="002F49"/>
            <w:tcMar>
              <w:top w:w="110" w:type="dxa"/>
              <w:start w:w="150" w:type="dxa"/>
              <w:bottom w:w="110" w:type="dxa"/>
              <w:end w:w="150" w:type="dxa"/>
            </w:tcMar>
          </w:tcPr>
          <w:p>
            <w:pPr>
              <w:jc w:val="center"/>
            </w:pPr>
            <w:r>
              <w:rPr>
                <w:b/>
                <w:color w:val="169BD5"/>
                <w:sz w:val="18"/>
              </w:rPr>
              <w:t>CORE MANAGEMENT QUESTION</w:t>
            </w:r>
          </w:p>
          <w:p>
            <w:pPr>
              <w:spacing w:after="0"/>
              <w:jc w:val="center"/>
            </w:pPr>
            <w:r>
              <w:rPr>
                <w:b/>
                <w:color w:val="FFFFFF"/>
                <w:sz w:val="24"/>
              </w:rPr>
              <w:t>How can TNM use customer and service data to improve bundle revenue, customer experience and repeat purchasing while reducing inactivity and churn?</w:t>
            </w:r>
          </w:p>
        </w:tc>
      </w:tr>
    </w:tbl>
    <w:p>
      <w:pPr>
        <w:pStyle w:val="Heading2"/>
      </w:pPr>
      <w:r>
        <w:t>Planned Training Dataset</w:t>
      </w:r>
    </w:p>
    <w:p>
      <w:r>
        <w:t xml:space="preserve">The next stage of the exercise will use </w:t>
      </w:r>
      <w:r>
        <w:rPr>
          <w:b/>
        </w:rPr>
        <w:t>1,000 synthetic customer observations</w:t>
      </w:r>
      <w:r>
        <w:t xml:space="preserve"> covering January–June 2026. Each observation will describe a customer’s profile, location, bundle selection, purchase channel, usage, network experience, customer-support activity, satisfaction and retention outcome. The data will be realistic enough for analytical training but will contain no actual TNM customer information or personally identifiable data.</w:t>
      </w:r>
    </w:p>
    <w:p>
      <w:pPr>
        <w:pStyle w:val="Heading2"/>
      </w:pPr>
      <w:r>
        <w:t>Questions Participants Will Investigate</w:t>
      </w:r>
    </w:p>
    <w:p>
      <w:pPr>
        <w:spacing w:after="40"/>
        <w:ind w:left="173" w:hanging="173"/>
      </w:pPr>
      <w:r>
        <w:rPr>
          <w:b/>
          <w:color w:val="169BD5"/>
        </w:rPr>
        <w:t xml:space="preserve">•  </w:t>
      </w:r>
      <w:r>
        <w:t>Which bundles generate the most purchases and revenue?</w:t>
      </w:r>
    </w:p>
    <w:p>
      <w:pPr>
        <w:spacing w:after="40"/>
        <w:ind w:left="173" w:hanging="173"/>
      </w:pPr>
      <w:r>
        <w:rPr>
          <w:b/>
          <w:color w:val="169BD5"/>
        </w:rPr>
        <w:t xml:space="preserve">•  </w:t>
      </w:r>
      <w:r>
        <w:t>Which customer segments and districts show the strongest demand?</w:t>
      </w:r>
    </w:p>
    <w:p>
      <w:pPr>
        <w:spacing w:after="40"/>
        <w:ind w:left="173" w:hanging="173"/>
      </w:pPr>
      <w:r>
        <w:rPr>
          <w:b/>
          <w:color w:val="169BD5"/>
        </w:rPr>
        <w:t xml:space="preserve">•  </w:t>
      </w:r>
      <w:r>
        <w:t>How fully do customers use their data, voice and SMS allowances?</w:t>
      </w:r>
    </w:p>
    <w:p>
      <w:pPr>
        <w:spacing w:after="40"/>
        <w:ind w:left="173" w:hanging="173"/>
      </w:pPr>
      <w:r>
        <w:rPr>
          <w:b/>
          <w:color w:val="169BD5"/>
        </w:rPr>
        <w:t xml:space="preserve">•  </w:t>
      </w:r>
      <w:r>
        <w:t>Does network quality influence customer satisfaction and repeat purchasing?</w:t>
      </w:r>
    </w:p>
    <w:p>
      <w:pPr>
        <w:spacing w:after="40"/>
        <w:ind w:left="173" w:hanging="173"/>
      </w:pPr>
      <w:r>
        <w:rPr>
          <w:b/>
          <w:color w:val="169BD5"/>
        </w:rPr>
        <w:t xml:space="preserve">•  </w:t>
      </w:r>
      <w:r>
        <w:t>Which purchase channels—such as USSD or the Smart App—perform best?</w:t>
      </w:r>
    </w:p>
    <w:p>
      <w:pPr>
        <w:spacing w:after="40"/>
        <w:ind w:left="173" w:hanging="173"/>
      </w:pPr>
      <w:r>
        <w:rPr>
          <w:b/>
          <w:color w:val="169BD5"/>
        </w:rPr>
        <w:t xml:space="preserve">•  </w:t>
      </w:r>
      <w:r>
        <w:t>What characteristics are associated with inactivity or churn?</w:t>
      </w:r>
    </w:p>
    <w:p>
      <w:pPr>
        <w:spacing w:after="40"/>
        <w:ind w:left="173" w:hanging="173"/>
      </w:pPr>
      <w:r>
        <w:rPr>
          <w:b/>
          <w:color w:val="169BD5"/>
        </w:rPr>
        <w:t xml:space="preserve">•  </w:t>
      </w:r>
      <w:r>
        <w:t>Where are the strongest cross-sell, upgrade and retention opportunities?</w:t>
      </w:r>
    </w:p>
    <w:p>
      <w:pPr>
        <w:pStyle w:val="Heading2"/>
      </w:pPr>
      <w:r>
        <w:t>Expected Outputs</w:t>
      </w:r>
    </w:p>
    <w:tbl>
      <w:tblPr>
        <w:tblW w:type="auto" w:w="0"/>
        <w:jc w:val="center"/>
        <w:tblLayout w:type="fixed"/>
        <w:tblLook w:firstColumn="1" w:firstRow="1" w:lastColumn="0" w:lastRow="0" w:noHBand="0" w:noVBand="1" w:val="04A0"/>
      </w:tblPr>
      <w:tblGrid>
        <w:gridCol w:w="3240"/>
        <w:gridCol w:w="3240"/>
        <w:gridCol w:w="3240"/>
      </w:tblGrid>
      <w:tr>
        <w:tc>
          <w:tcPr>
            <w:tcW w:type="dxa" w:w="3413"/>
            <w:shd w:fill="EAF4FA"/>
            <w:tcMar>
              <w:top w:w="100" w:type="dxa"/>
              <w:start w:w="105" w:type="dxa"/>
              <w:bottom w:w="100" w:type="dxa"/>
              <w:end w:w="105" w:type="dxa"/>
            </w:tcMar>
            <w:tcBorders>
              <w:top w:val="single" w:sz="8" w:color="169BD5"/>
              <w:left w:val="single" w:sz="8" w:color="169BD5"/>
              <w:bottom w:val="single" w:sz="8" w:color="169BD5"/>
              <w:right w:val="single" w:sz="8" w:color="169BD5"/>
            </w:tcBorders>
          </w:tcPr>
          <w:p>
            <w:pPr>
              <w:jc w:val="center"/>
            </w:pPr>
            <w:r>
              <w:rPr>
                <w:b/>
                <w:color w:val="169BD5"/>
                <w:sz w:val="30"/>
              </w:rPr>
              <w:t>01</w:t>
            </w:r>
          </w:p>
          <w:p>
            <w:pPr>
              <w:spacing w:after="40"/>
              <w:jc w:val="center"/>
            </w:pPr>
            <w:r>
              <w:rPr>
                <w:b/>
                <w:color w:val="002F49"/>
                <w:sz w:val="19"/>
              </w:rPr>
              <w:t>REALISTIC DATASET</w:t>
            </w:r>
          </w:p>
          <w:p>
            <w:pPr>
              <w:spacing w:after="0"/>
              <w:jc w:val="center"/>
            </w:pPr>
            <w:r>
              <w:rPr>
                <w:color w:val="1F2D35"/>
                <w:sz w:val="17"/>
              </w:rPr>
              <w:t>1,000 clean, analysis-ready records</w:t>
            </w:r>
          </w:p>
        </w:tc>
        <w:tc>
          <w:tcPr>
            <w:tcW w:type="dxa" w:w="3413"/>
            <w:shd w:fill="D8EEF8"/>
            <w:tcMar>
              <w:top w:w="100" w:type="dxa"/>
              <w:start w:w="105" w:type="dxa"/>
              <w:bottom w:w="100" w:type="dxa"/>
              <w:end w:w="105" w:type="dxa"/>
            </w:tcMar>
            <w:tcBorders>
              <w:top w:val="single" w:sz="8" w:color="169BD5"/>
              <w:left w:val="single" w:sz="8" w:color="169BD5"/>
              <w:bottom w:val="single" w:sz="8" w:color="169BD5"/>
              <w:right w:val="single" w:sz="8" w:color="169BD5"/>
            </w:tcBorders>
          </w:tcPr>
          <w:p>
            <w:pPr>
              <w:jc w:val="center"/>
            </w:pPr>
            <w:r>
              <w:rPr>
                <w:b/>
                <w:color w:val="169BD5"/>
                <w:sz w:val="30"/>
              </w:rPr>
              <w:t>02</w:t>
            </w:r>
          </w:p>
          <w:p>
            <w:pPr>
              <w:spacing w:after="40"/>
              <w:jc w:val="center"/>
            </w:pPr>
            <w:r>
              <w:rPr>
                <w:b/>
                <w:color w:val="002F49"/>
                <w:sz w:val="19"/>
              </w:rPr>
              <w:t>MANAGEMENT INSIGHTS</w:t>
            </w:r>
          </w:p>
          <w:p>
            <w:pPr>
              <w:spacing w:after="0"/>
              <w:jc w:val="center"/>
            </w:pPr>
            <w:r>
              <w:rPr>
                <w:color w:val="1F2D35"/>
                <w:sz w:val="17"/>
              </w:rPr>
              <w:t>Commercial, customer and operational findings</w:t>
            </w:r>
          </w:p>
        </w:tc>
        <w:tc>
          <w:tcPr>
            <w:tcW w:type="dxa" w:w="3413"/>
            <w:shd w:fill="EAF4FA"/>
            <w:tcMar>
              <w:top w:w="100" w:type="dxa"/>
              <w:start w:w="105" w:type="dxa"/>
              <w:bottom w:w="100" w:type="dxa"/>
              <w:end w:w="105" w:type="dxa"/>
            </w:tcMar>
            <w:tcBorders>
              <w:top w:val="single" w:sz="8" w:color="169BD5"/>
              <w:left w:val="single" w:sz="8" w:color="169BD5"/>
              <w:bottom w:val="single" w:sz="8" w:color="169BD5"/>
              <w:right w:val="single" w:sz="8" w:color="169BD5"/>
            </w:tcBorders>
          </w:tcPr>
          <w:p>
            <w:pPr>
              <w:jc w:val="center"/>
            </w:pPr>
            <w:r>
              <w:rPr>
                <w:b/>
                <w:color w:val="169BD5"/>
                <w:sz w:val="30"/>
              </w:rPr>
              <w:t>03</w:t>
            </w:r>
          </w:p>
          <w:p>
            <w:pPr>
              <w:spacing w:after="40"/>
              <w:jc w:val="center"/>
            </w:pPr>
            <w:r>
              <w:rPr>
                <w:b/>
                <w:color w:val="002F49"/>
                <w:sz w:val="19"/>
              </w:rPr>
              <w:t>TWO DASHBOARDS</w:t>
            </w:r>
          </w:p>
          <w:p>
            <w:pPr>
              <w:spacing w:after="0"/>
              <w:jc w:val="center"/>
            </w:pPr>
            <w:r>
              <w:rPr>
                <w:color w:val="1F2D35"/>
                <w:sz w:val="17"/>
              </w:rPr>
              <w:t>Interactive Excel and browser-based HTML versions</w:t>
            </w:r>
          </w:p>
        </w:tc>
      </w:tr>
    </w:tbl>
    <w:p>
      <w:pPr>
        <w:pStyle w:val="Heading1"/>
      </w:pPr>
      <w:r>
        <w:t>2 • WORKSHOP BRIEF</w:t>
      </w:r>
    </w:p>
    <w:p>
      <w:pPr>
        <w:pStyle w:val="Heading2"/>
      </w:pPr>
      <w:r>
        <w:t>Participant Task</w:t>
      </w:r>
    </w:p>
    <w:p>
      <w:r>
        <w:t>Working in small management teams, participants will act as TNM’s customer and commercial analytics unit. Using the synthetic dataset supplied in the next stage, each team must diagnose bundle performance, identify the most important customer and service patterns, and present a short set of evidence-based recommendations to executive management.</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60"/>
            <w:shd w:fill="F4F8FB"/>
            <w:tcMar>
              <w:top w:w="90" w:type="dxa"/>
              <w:start w:w="85" w:type="dxa"/>
              <w:bottom w:w="90" w:type="dxa"/>
              <w:end w:w="85" w:type="dxa"/>
            </w:tcMar>
            <w:tcBorders>
              <w:top w:val="single" w:sz="7" w:color="169BD5"/>
              <w:left w:val="single" w:sz="7" w:color="169BD5"/>
              <w:bottom w:val="single" w:sz="7" w:color="169BD5"/>
              <w:right w:val="single" w:sz="7" w:color="169BD5"/>
            </w:tcBorders>
          </w:tcPr>
          <w:p>
            <w:pPr>
              <w:jc w:val="center"/>
            </w:pPr>
            <w:r>
              <w:rPr>
                <w:b/>
                <w:color w:val="169BD5"/>
                <w:sz w:val="26"/>
              </w:rPr>
              <w:t>01</w:t>
            </w:r>
          </w:p>
          <w:p>
            <w:pPr>
              <w:spacing w:after="20"/>
              <w:jc w:val="center"/>
            </w:pPr>
            <w:r>
              <w:rPr>
                <w:b/>
                <w:color w:val="002F49"/>
                <w:sz w:val="17"/>
              </w:rPr>
              <w:t>UNDERSTAND</w:t>
            </w:r>
          </w:p>
          <w:p>
            <w:pPr>
              <w:spacing w:after="0"/>
              <w:jc w:val="center"/>
            </w:pPr>
            <w:r>
              <w:rPr>
                <w:color w:val="1F2D35"/>
                <w:sz w:val="15"/>
              </w:rPr>
              <w:t>Review fields, definitions and data quality.</w:t>
            </w:r>
          </w:p>
        </w:tc>
        <w:tc>
          <w:tcPr>
            <w:tcW w:type="dxa" w:w="2560"/>
            <w:shd w:fill="EAF4FA"/>
            <w:tcMar>
              <w:top w:w="90" w:type="dxa"/>
              <w:start w:w="85" w:type="dxa"/>
              <w:bottom w:w="90" w:type="dxa"/>
              <w:end w:w="85" w:type="dxa"/>
            </w:tcMar>
            <w:tcBorders>
              <w:top w:val="single" w:sz="7" w:color="169BD5"/>
              <w:left w:val="single" w:sz="7" w:color="169BD5"/>
              <w:bottom w:val="single" w:sz="7" w:color="169BD5"/>
              <w:right w:val="single" w:sz="7" w:color="169BD5"/>
            </w:tcBorders>
          </w:tcPr>
          <w:p>
            <w:pPr>
              <w:jc w:val="center"/>
            </w:pPr>
            <w:r>
              <w:rPr>
                <w:b/>
                <w:color w:val="169BD5"/>
                <w:sz w:val="26"/>
              </w:rPr>
              <w:t>02</w:t>
            </w:r>
          </w:p>
          <w:p>
            <w:pPr>
              <w:spacing w:after="20"/>
              <w:jc w:val="center"/>
            </w:pPr>
            <w:r>
              <w:rPr>
                <w:b/>
                <w:color w:val="002F49"/>
                <w:sz w:val="17"/>
              </w:rPr>
              <w:t>ANALYSE</w:t>
            </w:r>
          </w:p>
          <w:p>
            <w:pPr>
              <w:spacing w:after="0"/>
              <w:jc w:val="center"/>
            </w:pPr>
            <w:r>
              <w:rPr>
                <w:color w:val="1F2D35"/>
                <w:sz w:val="15"/>
              </w:rPr>
              <w:t>Test patterns in sales, usage, experience and retention.</w:t>
            </w:r>
          </w:p>
        </w:tc>
        <w:tc>
          <w:tcPr>
            <w:tcW w:type="dxa" w:w="2560"/>
            <w:shd w:fill="F4F8FB"/>
            <w:tcMar>
              <w:top w:w="90" w:type="dxa"/>
              <w:start w:w="85" w:type="dxa"/>
              <w:bottom w:w="90" w:type="dxa"/>
              <w:end w:w="85" w:type="dxa"/>
            </w:tcMar>
            <w:tcBorders>
              <w:top w:val="single" w:sz="7" w:color="169BD5"/>
              <w:left w:val="single" w:sz="7" w:color="169BD5"/>
              <w:bottom w:val="single" w:sz="7" w:color="169BD5"/>
              <w:right w:val="single" w:sz="7" w:color="169BD5"/>
            </w:tcBorders>
          </w:tcPr>
          <w:p>
            <w:pPr>
              <w:jc w:val="center"/>
            </w:pPr>
            <w:r>
              <w:rPr>
                <w:b/>
                <w:color w:val="169BD5"/>
                <w:sz w:val="26"/>
              </w:rPr>
              <w:t>03</w:t>
            </w:r>
          </w:p>
          <w:p>
            <w:pPr>
              <w:spacing w:after="20"/>
              <w:jc w:val="center"/>
            </w:pPr>
            <w:r>
              <w:rPr>
                <w:b/>
                <w:color w:val="002F49"/>
                <w:sz w:val="17"/>
              </w:rPr>
              <w:t>VISUALISE</w:t>
            </w:r>
          </w:p>
          <w:p>
            <w:pPr>
              <w:spacing w:after="0"/>
              <w:jc w:val="center"/>
            </w:pPr>
            <w:r>
              <w:rPr>
                <w:color w:val="1F2D35"/>
                <w:sz w:val="15"/>
              </w:rPr>
              <w:t>Build clear Excel and interactive HTML dashboards.</w:t>
            </w:r>
          </w:p>
        </w:tc>
        <w:tc>
          <w:tcPr>
            <w:tcW w:type="dxa" w:w="2560"/>
            <w:shd w:fill="EAF4FA"/>
            <w:tcMar>
              <w:top w:w="90" w:type="dxa"/>
              <w:start w:w="85" w:type="dxa"/>
              <w:bottom w:w="90" w:type="dxa"/>
              <w:end w:w="85" w:type="dxa"/>
            </w:tcMar>
            <w:tcBorders>
              <w:top w:val="single" w:sz="7" w:color="169BD5"/>
              <w:left w:val="single" w:sz="7" w:color="169BD5"/>
              <w:bottom w:val="single" w:sz="7" w:color="169BD5"/>
              <w:right w:val="single" w:sz="7" w:color="169BD5"/>
            </w:tcBorders>
          </w:tcPr>
          <w:p>
            <w:pPr>
              <w:jc w:val="center"/>
            </w:pPr>
            <w:r>
              <w:rPr>
                <w:b/>
                <w:color w:val="169BD5"/>
                <w:sz w:val="26"/>
              </w:rPr>
              <w:t>04</w:t>
            </w:r>
          </w:p>
          <w:p>
            <w:pPr>
              <w:spacing w:after="20"/>
              <w:jc w:val="center"/>
            </w:pPr>
            <w:r>
              <w:rPr>
                <w:b/>
                <w:color w:val="002F49"/>
                <w:sz w:val="17"/>
              </w:rPr>
              <w:t>RECOMMEND</w:t>
            </w:r>
          </w:p>
          <w:p>
            <w:pPr>
              <w:spacing w:after="0"/>
              <w:jc w:val="center"/>
            </w:pPr>
            <w:r>
              <w:rPr>
                <w:color w:val="1F2D35"/>
                <w:sz w:val="15"/>
              </w:rPr>
              <w:t>Convert findings into practical management actions.</w:t>
            </w:r>
          </w:p>
        </w:tc>
      </w:tr>
    </w:tbl>
    <w:p>
      <w:pPr>
        <w:pStyle w:val="Heading2"/>
      </w:pPr>
      <w:r>
        <w:t>Management Deliverable</w:t>
      </w:r>
    </w:p>
    <w:p>
      <w:pPr>
        <w:spacing w:after="40"/>
        <w:ind w:left="173" w:hanging="173"/>
      </w:pPr>
      <w:r>
        <w:rPr>
          <w:b/>
          <w:color w:val="169BD5"/>
        </w:rPr>
        <w:t xml:space="preserve">•  </w:t>
      </w:r>
      <w:r>
        <w:t>A one-page executive summary identifying the five most important findings.</w:t>
      </w:r>
    </w:p>
    <w:p>
      <w:pPr>
        <w:spacing w:after="40"/>
        <w:ind w:left="173" w:hanging="173"/>
      </w:pPr>
      <w:r>
        <w:rPr>
          <w:b/>
          <w:color w:val="169BD5"/>
        </w:rPr>
        <w:t xml:space="preserve">•  </w:t>
      </w:r>
      <w:r>
        <w:t>A dashboard that allows managers to filter results by month, region, district, customer segment, bundle and purchase channel.</w:t>
      </w:r>
    </w:p>
    <w:p>
      <w:pPr>
        <w:spacing w:after="40"/>
        <w:ind w:left="173" w:hanging="173"/>
      </w:pPr>
      <w:r>
        <w:rPr>
          <w:b/>
          <w:color w:val="169BD5"/>
        </w:rPr>
        <w:t xml:space="preserve">•  </w:t>
      </w:r>
      <w:r>
        <w:t>Three to five recommendations covering revenue growth, retention, customer experience, channel adoption or network-service improvement.</w:t>
      </w:r>
    </w:p>
    <w:p>
      <w:pPr>
        <w:pStyle w:val="Heading2"/>
      </w:pPr>
      <w:r>
        <w:t>Suggested Team Roles</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119"/>
            <w:shd w:fill="002F49"/>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color w:val="FFFFFF"/>
                <w:sz w:val="17"/>
              </w:rPr>
              <w:t>Role</w:t>
            </w:r>
          </w:p>
        </w:tc>
        <w:tc>
          <w:tcPr>
            <w:tcW w:type="dxa" w:w="5119"/>
            <w:shd w:fill="002F49"/>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color w:val="FFFFFF"/>
                <w:sz w:val="17"/>
              </w:rPr>
              <w:t>Primary responsibility</w:t>
            </w:r>
          </w:p>
        </w:tc>
      </w:tr>
      <w:tr>
        <w:tc>
          <w:tcPr>
            <w:tcW w:type="dxa" w:w="5119"/>
            <w:shd w:fill="DCEAF2"/>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color w:val="002F49"/>
                <w:sz w:val="17"/>
              </w:rPr>
              <w:t>Commercial Lead</w:t>
            </w:r>
          </w:p>
        </w:tc>
        <w:tc>
          <w:tcPr>
            <w:tcW w:type="dxa" w:w="5119"/>
            <w:shd w:fill="F4F8FB"/>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val="0"/>
                <w:color w:val="1F2D35"/>
                <w:sz w:val="17"/>
              </w:rPr>
              <w:t>Frame the revenue, product and market questions.</w:t>
            </w:r>
          </w:p>
        </w:tc>
      </w:tr>
      <w:tr>
        <w:tc>
          <w:tcPr>
            <w:tcW w:type="dxa" w:w="5119"/>
            <w:shd w:fill="F4F8FB"/>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color w:val="002F49"/>
                <w:sz w:val="17"/>
              </w:rPr>
              <w:t>Customer Experience Lead</w:t>
            </w:r>
          </w:p>
        </w:tc>
        <w:tc>
          <w:tcPr>
            <w:tcW w:type="dxa" w:w="5119"/>
            <w:shd w:fill="FFFFFF"/>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val="0"/>
                <w:color w:val="1F2D35"/>
                <w:sz w:val="17"/>
              </w:rPr>
              <w:t>Interpret satisfaction, complaints and retention patterns.</w:t>
            </w:r>
          </w:p>
        </w:tc>
      </w:tr>
      <w:tr>
        <w:tc>
          <w:tcPr>
            <w:tcW w:type="dxa" w:w="5119"/>
            <w:shd w:fill="DCEAF2"/>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color w:val="002F49"/>
                <w:sz w:val="17"/>
              </w:rPr>
              <w:t>Data and Dashboard Lead</w:t>
            </w:r>
          </w:p>
        </w:tc>
        <w:tc>
          <w:tcPr>
            <w:tcW w:type="dxa" w:w="5119"/>
            <w:shd w:fill="F4F8FB"/>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val="0"/>
                <w:color w:val="1F2D35"/>
                <w:sz w:val="17"/>
              </w:rPr>
              <w:t>Prepare measures, visualisations and filters.</w:t>
            </w:r>
          </w:p>
        </w:tc>
      </w:tr>
      <w:tr>
        <w:tc>
          <w:tcPr>
            <w:tcW w:type="dxa" w:w="5119"/>
            <w:shd w:fill="F4F8FB"/>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color w:val="002F49"/>
                <w:sz w:val="17"/>
              </w:rPr>
              <w:t>Risk and Governance Lead</w:t>
            </w:r>
          </w:p>
        </w:tc>
        <w:tc>
          <w:tcPr>
            <w:tcW w:type="dxa" w:w="5119"/>
            <w:shd w:fill="FFFFFF"/>
            <w:tcMar>
              <w:top w:w="65" w:type="dxa"/>
              <w:start w:w="85" w:type="dxa"/>
              <w:bottom w:w="65" w:type="dxa"/>
              <w:end w:w="85" w:type="dxa"/>
            </w:tcMar>
            <w:tcBorders>
              <w:top w:val="single" w:sz="5" w:color="B9CEDA"/>
              <w:left w:val="single" w:sz="5" w:color="B9CEDA"/>
              <w:bottom w:val="single" w:sz="5" w:color="B9CEDA"/>
              <w:right w:val="single" w:sz="5" w:color="B9CEDA"/>
            </w:tcBorders>
          </w:tcPr>
          <w:p>
            <w:r>
              <w:rPr>
                <w:b w:val="0"/>
                <w:color w:val="1F2D35"/>
                <w:sz w:val="17"/>
              </w:rPr>
              <w:t>Challenge assumptions, fairness, privacy and responsible use.</w:t>
            </w:r>
          </w:p>
        </w:tc>
      </w:tr>
    </w:tbl>
    <w:p>
      <w:pPr>
        <w:pStyle w:val="Heading2"/>
      </w:pPr>
      <w:r>
        <w:t>Data Ethics and Training Note</w:t>
      </w:r>
    </w:p>
    <w:p>
      <w:r>
        <w:t>This is a fictional teaching case. Names, customer identifiers, behavioural patterns and outcomes will be generated solely for learning. Any similarity to actual TNM customers or transactions will be coincidental. Participants should treat the exercise as a model of responsible analytics: minimise personal data, protect confidentiality, avoid discriminatory profiling and retain accountable human judgement when interpreting predictions.</w:t>
      </w:r>
    </w:p>
    <w:p>
      <w:pPr>
        <w:spacing w:before="140" w:after="0"/>
      </w:pPr>
      <w:r>
        <w:rPr>
          <w:b/>
          <w:color w:val="687781"/>
          <w:sz w:val="16"/>
        </w:rPr>
        <w:t xml:space="preserve">Product-reference note: </w:t>
      </w:r>
      <w:r>
        <w:rPr>
          <w:color w:val="687781"/>
          <w:sz w:val="16"/>
        </w:rPr>
        <w:t xml:space="preserve">The case was informed by TNM’s public Mxit Mxit bundle page and public guidance on purchasing bundles through USSD and the TNM Smart App. Product details may change; the synthetic dataset is designed for training rather than operational reporting. </w:t>
      </w:r>
      <w:hyperlink r:id="rId12">
        <w:r>
          <w:rPr>
            <w:color w:val="169BD5"/>
            <w:u w:val="single"/>
          </w:rPr>
          <w:t>TNM Mxit Mxit Bundles</w:t>
        </w:r>
      </w:hyperlink>
      <w:r>
        <w:t xml:space="preserve">  •  </w:t>
      </w:r>
      <w:hyperlink r:id="rId13">
        <w:r>
          <w:rPr>
            <w:color w:val="169BD5"/>
            <w:u w:val="single"/>
          </w:rPr>
          <w:t>TNM Support FAQs</w:t>
        </w:r>
      </w:hyperlink>
    </w:p>
    <w:sectPr w:rsidR="00FC693F" w:rsidRPr="0006063C" w:rsidSect="00034616">
      <w:headerReference w:type="default" r:id="rId9"/>
      <w:footerReference w:type="default" r:id="rId10"/>
      <w:pgSz w:w="11909" w:h="16834"/>
      <w:pgMar w:top="605" w:right="835" w:bottom="605"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928"/>
      <w:gridCol w:w="1152"/>
    </w:tblGrid>
    <w:tr>
      <w:tc>
        <w:tcPr>
          <w:tcW w:type="dxa" w:w="5112"/>
          <w:tcMar>
            <w:top w:w="0" w:type="dxa"/>
            <w:start w:w="0" w:type="dxa"/>
            <w:bottom w:w="0" w:type="dxa"/>
            <w:end w:w="0" w:type="dxa"/>
          </w:tcMar>
          <w:tcBorders>
            <w:top w:val="nil"/>
            <w:left w:val="nil"/>
            <w:bottom w:val="nil"/>
            <w:right w:val="nil"/>
          </w:tcBorders>
        </w:tcPr>
        <w:p>
          <w:pPr>
            <w:jc w:val="left"/>
          </w:pPr>
          <w:r>
            <w:rPr>
              <w:rFonts w:ascii="Arial" w:hAnsi="Arial"/>
              <w:color w:val="687781"/>
              <w:sz w:val="16"/>
            </w:rPr>
            <w:t>Telekom Networks Malawi Executive Programme   •   15–17 July 2026   •   UCT GSB</w:t>
          </w:r>
        </w:p>
      </w:tc>
      <w:tc>
        <w:tcPr>
          <w:tcW w:type="dxa" w:w="5112"/>
          <w:tcMar>
            <w:top w:w="0" w:type="dxa"/>
            <w:start w:w="0" w:type="dxa"/>
            <w:bottom w:w="0" w:type="dxa"/>
            <w:end w:w="0" w:type="dxa"/>
          </w:tcMar>
          <w:tcBorders>
            <w:top w:val="nil"/>
            <w:left w:val="nil"/>
            <w:bottom w:val="nil"/>
            <w:right w:val="nil"/>
          </w:tcBorders>
        </w:tcPr>
        <w:p>
          <w:pPr>
            <w:jc w:val="right"/>
          </w:pPr>
          <w:r>
            <w:rPr>
              <w:rFonts w:ascii="Arial" w:hAnsi="Arial"/>
              <w:color w:val="1F2D35"/>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color w:val="002F49"/>
        <w:sz w:val="17"/>
      </w:rPr>
      <w:t>UCT GRADUATE SCHOOL OF BUSINESS  |  AI LEADERSHIP IN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1F2D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002F49"/>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2F4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6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b/>
      <w:color w:val="002F4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eastAsia="Arial"/>
      <w:b/>
      <w:i/>
      <w:iCs/>
      <w:color w:val="169BD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abel">
    <w:name w:val="Case Label"/>
    <w:pPr>
      <w:spacing w:after="0"/>
    </w:pPr>
    <w:rPr>
      <w:rFonts w:ascii="Arial" w:hAnsi="Arial" w:eastAsia="Arial"/>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tnm.co.mw/personal/products/bundles/" TargetMode="External"/><Relationship Id="rId13" Type="http://schemas.openxmlformats.org/officeDocument/2006/relationships/hyperlink" Target="https://www.tnm.co.mw/personal/support/fa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TNM Mxit Mxit Bundle Performance and Customer Retention Analysis</dc:title>
  <dc:subject>UCT GSB AI Leadership in Action synthetic training case</dc:subject>
  <dc:creator>Professor Abejide Ade-Ibijola</dc:creator>
  <cp:keywords>UCT GSB, TNM, Malawi, Mxit Mxit, analytics, dashboard, synthetic data</cp:keywords>
  <dc:description>Prepared as a synthetic executive training case. No real customer data.</dc:description>
  <cp:lastModifiedBy/>
  <cp:revision>1</cp:revision>
  <dcterms:created xsi:type="dcterms:W3CDTF">2013-12-23T23:15:00Z</dcterms:created>
  <dcterms:modified xsi:type="dcterms:W3CDTF">2013-12-23T23:15:00Z</dcterms:modified>
  <cp:category/>
</cp:coreProperties>
</file>