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Para quién</w:t>
            </w:r>
          </w:p>
        </w:tc>
        <w:tc>
          <w:tcPr>
            <w:tcW w:type="dxa" w:w="4819"/>
            <w:shd w:val="clear" w:fill="F9FBFC"/>
          </w:tcPr>
          <w:p>
            <w:pPr>
              <w:spacing w:after="40"/>
            </w:pPr>
            <w:r>
              <w:rPr>
                <w:b w:val="0"/>
                <w:i w:val="0"/>
                <w:sz w:val="19"/>
              </w:rPr>
              <w:t>Maestras y maestros de escuela infantil, y familias</w:t>
            </w:r>
          </w:p>
        </w:tc>
      </w:tr>
      <w:tr>
        <w:tc>
          <w:tcPr>
            <w:tcW w:type="dxa" w:w="4819"/>
            <w:shd w:val="clear" w:fill="E8F4F8"/>
          </w:tcPr>
          <w:p>
            <w:pPr>
              <w:spacing w:after="40"/>
            </w:pPr>
            <w:r>
              <w:rPr>
                <w:b/>
                <w:i w:val="0"/>
                <w:color w:val="1B4965"/>
                <w:sz w:val="19"/>
              </w:rPr>
              <w:t>Edades</w:t>
            </w:r>
          </w:p>
        </w:tc>
        <w:tc>
          <w:tcPr>
            <w:tcW w:type="dxa" w:w="4819"/>
          </w:tcPr>
          <w:p>
            <w:pPr>
              <w:spacing w:after="40"/>
            </w:pPr>
            <w:r>
              <w:rPr>
                <w:b w:val="0"/>
                <w:i w:val="0"/>
                <w:sz w:val="19"/>
              </w:rPr>
              <w:t>Primer ciclo (0-3 años) y segundo ciclo (3-6 años), cada uno con su contenido</w:t>
            </w:r>
          </w:p>
        </w:tc>
      </w:tr>
      <w:tr>
        <w:tc>
          <w:tcPr>
            <w:tcW w:type="dxa" w:w="4819"/>
            <w:shd w:val="clear" w:fill="E8F4F8"/>
          </w:tcPr>
          <w:p>
            <w:pPr>
              <w:spacing w:after="40"/>
            </w:pPr>
            <w:r>
              <w:rPr>
                <w:b/>
                <w:i w:val="0"/>
                <w:color w:val="1B4965"/>
                <w:sz w:val="19"/>
              </w:rPr>
              <w:t>Qué cubre</w:t>
            </w:r>
          </w:p>
        </w:tc>
        <w:tc>
          <w:tcPr>
            <w:tcW w:type="dxa" w:w="4819"/>
            <w:shd w:val="clear" w:fill="F9FBFC"/>
          </w:tcPr>
          <w:p>
            <w:pPr>
              <w:spacing w:after="40"/>
            </w:pPr>
            <w:r>
              <w:rPr>
                <w:b w:val="0"/>
                <w:i w:val="0"/>
                <w:sz w:val="19"/>
              </w:rPr>
              <w:t>Los seis años, de 0-2 a 5-6: cinco cursos de diez meses cada uno, de septiembre a junio</w:t>
            </w:r>
          </w:p>
        </w:tc>
      </w:tr>
      <w:tr>
        <w:tc>
          <w:tcPr>
            <w:tcW w:type="dxa" w:w="4819"/>
            <w:shd w:val="clear" w:fill="E8F4F8"/>
          </w:tcPr>
          <w:p>
            <w:pPr>
              <w:spacing w:after="40"/>
            </w:pPr>
            <w:r>
              <w:rPr>
                <w:b/>
                <w:i w:val="0"/>
                <w:color w:val="1B4965"/>
                <w:sz w:val="19"/>
              </w:rPr>
              <w:t>Lenguas</w:t>
            </w:r>
          </w:p>
        </w:tc>
        <w:tc>
          <w:tcPr>
            <w:tcW w:type="dxa" w:w="4819"/>
          </w:tcPr>
          <w:p>
            <w:pPr>
              <w:spacing w:after="40"/>
            </w:pPr>
            <w:r>
              <w:rPr>
                <w:b w:val="0"/>
                <w:i w:val="0"/>
                <w:sz w:val="19"/>
              </w:rPr>
              <w:t>Gallego y castellano, intercambiables en cualquier pantalla. El inglés se escucha, no se lee</w:t>
            </w:r>
          </w:p>
        </w:tc>
      </w:tr>
      <w:tr>
        <w:tc>
          <w:tcPr>
            <w:tcW w:type="dxa" w:w="4819"/>
            <w:shd w:val="clear" w:fill="E8F4F8"/>
          </w:tcPr>
          <w:p>
            <w:pPr>
              <w:spacing w:after="40"/>
            </w:pPr>
            <w:r>
              <w:rPr>
                <w:b/>
                <w:i w:val="0"/>
                <w:color w:val="1B4965"/>
                <w:sz w:val="19"/>
              </w:rPr>
              <w:t>Conexión</w:t>
            </w:r>
          </w:p>
        </w:tc>
        <w:tc>
          <w:tcPr>
            <w:tcW w:type="dxa" w:w="4819"/>
            <w:shd w:val="clear" w:fill="F9FBFC"/>
          </w:tcPr>
          <w:p>
            <w:pPr>
              <w:spacing w:after="40"/>
            </w:pPr>
            <w:r>
              <w:rPr>
                <w:b w:val="0"/>
                <w:i w:val="0"/>
                <w:sz w:val="19"/>
              </w:rPr>
              <w:t>Ninguna. Todo el contenido, grabaciones incluidas, va dentro de la aplicación</w:t>
            </w:r>
          </w:p>
        </w:tc>
      </w:tr>
      <w:tr>
        <w:tc>
          <w:tcPr>
            <w:tcW w:type="dxa" w:w="4819"/>
            <w:shd w:val="clear" w:fill="E8F4F8"/>
          </w:tcPr>
          <w:p>
            <w:pPr>
              <w:spacing w:after="40"/>
            </w:pPr>
            <w:r>
              <w:rPr>
                <w:b/>
                <w:i w:val="0"/>
                <w:color w:val="1B4965"/>
                <w:sz w:val="19"/>
              </w:rPr>
              <w:t>Cuentas</w:t>
            </w:r>
          </w:p>
        </w:tc>
        <w:tc>
          <w:tcPr>
            <w:tcW w:type="dxa" w:w="4819"/>
          </w:tcPr>
          <w:p>
            <w:pPr>
              <w:spacing w:after="40"/>
            </w:pPr>
            <w:r>
              <w:rPr>
                <w:b w:val="0"/>
                <w:i w:val="0"/>
                <w:sz w:val="19"/>
              </w:rPr>
              <w:t>No hay. No se pide correo, ni nombre, ni fecha de nacimiento de nadie</w:t>
            </w:r>
          </w:p>
        </w:tc>
      </w:tr>
      <w:t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 casa</w:t>
            </w:r>
          </w:p>
        </w:tc>
        <w:tc>
          <w:tcPr>
            <w:tcW w:type="dxa" w:w="4819"/>
            <w:shd w:val="clear" w:fill="F9FBFC"/>
          </w:tcPr>
          <w:p>
            <w:pPr>
              <w:spacing w:after="40"/>
            </w:pPr>
            <w:r>
              <w:rPr>
                <w:b w:val="0"/>
                <w:i w:val="0"/>
                <w:sz w:val="19"/>
              </w:rPr>
              <w:t>El Portal Familias: tres minutos al día con la criatura</w:t>
            </w:r>
          </w:p>
        </w:tc>
      </w:tr>
      <w:t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El inicio · gallego</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El inicio · castellano</w:t>
            </w:r>
          </w:p>
        </w:tc>
      </w:tr>
    </w:tbl>
    <w:p>
      <w:pPr>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las </w:t>
      </w:r>
      <w:r>
        <w:rPr>
          <w:b/>
          <w:i w:val="0"/>
        </w:rPr>
        <w:t>palabras de hoy</w:t>
      </w:r>
      <w:r>
        <w:rPr>
          <w:b w:val="0"/>
          <w:i w:val="0"/>
        </w:rPr>
        <w:t xml:space="preserve"> en inglés,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Calendario</w:t>
            </w:r>
          </w:p>
        </w:tc>
        <w:tc>
          <w:tcPr>
            <w:tcW w:type="dxa" w:w="4819"/>
            <w:shd w:val="clear" w:fill="F9FBFC"/>
          </w:tcPr>
          <w:p>
            <w:pPr>
              <w:spacing w:after="40"/>
            </w:pPr>
            <w:r>
              <w:rPr>
                <w:b w:val="0"/>
                <w:i w:val="0"/>
                <w:sz w:val="19"/>
              </w:rPr>
              <w:t>El curso mes a mes, del lado del aula, abierto en el curso del grupo elegido (sección 5)</w:t>
            </w:r>
          </w:p>
        </w:tc>
      </w:tr>
      <w:tr>
        <w:tc>
          <w:tcPr>
            <w:tcW w:type="dxa" w:w="4819"/>
            <w:shd w:val="clear" w:fill="E8F4F8"/>
          </w:tcPr>
          <w:p>
            <w:pPr>
              <w:spacing w:after="40"/>
            </w:pPr>
            <w:r>
              <w:rPr>
                <w:b/>
                <w:i w:val="0"/>
                <w:color w:val="1B4965"/>
                <w:sz w:val="19"/>
              </w:rPr>
              <w:t>Recursos</w:t>
            </w:r>
          </w:p>
        </w:tc>
        <w:tc>
          <w:tcPr>
            <w:tcW w:type="dxa" w:w="4819"/>
          </w:tcPr>
          <w:p>
            <w:pPr>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se hace</w:t>
            </w:r>
          </w:p>
        </w:tc>
      </w:tr>
      <w:tr>
        <w:tc>
          <w:tcPr>
            <w:tcW w:type="dxa" w:w="4819"/>
          </w:tcPr>
          <w:p>
            <w:pPr>
              <w:spacing w:after="40"/>
            </w:pPr>
            <w:r>
              <w:rPr>
                <w:b/>
                <w:i w:val="0"/>
                <w:sz w:val="19"/>
              </w:rPr>
              <w:t>1 · Apertura y saludo</w:t>
            </w:r>
          </w:p>
        </w:tc>
        <w:tc>
          <w:tcPr>
            <w:tcW w:type="dxa" w:w="4819"/>
          </w:tcPr>
          <w:p>
            <w:pPr>
              <w:spacing w:after="40"/>
            </w:pPr>
            <w:r>
              <w:rPr>
                <w:b w:val="0"/>
                <w:i w:val="0"/>
                <w:sz w:val="19"/>
              </w:rPr>
              <w:t>Reunir al grupo y saludar, uno a uno, con el material del mes</w:t>
            </w:r>
          </w:p>
        </w:tc>
      </w:tr>
      <w:tr>
        <w:tc>
          <w:tcPr>
            <w:tcW w:type="dxa" w:w="4819"/>
            <w:shd w:val="clear" w:fill="F9FBFC"/>
          </w:tcPr>
          <w:p>
            <w:pPr>
              <w:spacing w:after="40"/>
            </w:pPr>
            <w:r>
              <w:rPr>
                <w:b/>
                <w:i w:val="0"/>
                <w:sz w:val="19"/>
              </w:rPr>
              <w:t>2 · Enfoque y fingerplay</w:t>
            </w:r>
          </w:p>
        </w:tc>
        <w:tc>
          <w:tcPr>
            <w:tcW w:type="dxa" w:w="4819"/>
            <w:shd w:val="clear" w:fill="F9FBFC"/>
          </w:tcPr>
          <w:p>
            <w:pPr>
              <w:spacing w:after="40"/>
            </w:pPr>
            <w:r>
              <w:rPr>
                <w:b w:val="0"/>
                <w:i w:val="0"/>
                <w:sz w:val="19"/>
              </w:rPr>
              <w:t>Un juego de dedos y manos que centra la atención</w:t>
            </w:r>
          </w:p>
        </w:tc>
      </w:tr>
      <w:tr>
        <w:tc>
          <w:tcPr>
            <w:tcW w:type="dxa" w:w="4819"/>
          </w:tcPr>
          <w:p>
            <w:pPr>
              <w:spacing w:after="40"/>
            </w:pPr>
            <w:r>
              <w:rPr>
                <w:b/>
                <w:i w:val="0"/>
                <w:sz w:val="19"/>
              </w:rPr>
              <w:t>3 · Núcleo TPR temático</w:t>
            </w:r>
          </w:p>
        </w:tc>
        <w:tc>
          <w:tcPr>
            <w:tcW w:type="dxa" w:w="4819"/>
          </w:tcPr>
          <w:p>
            <w:pPr>
              <w:spacing w:after="40"/>
            </w:pPr>
            <w:r>
              <w:rPr>
                <w:b w:val="0"/>
                <w:i w:val="0"/>
                <w:sz w:val="19"/>
              </w:rPr>
              <w:t>El tema del mes, dicho por la maestra y hecho con el cuerpo: tres órdenes con el material, sin pedir que nadie repita</w:t>
            </w:r>
          </w:p>
        </w:tc>
      </w:tr>
      <w:t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2304000" cy="5116893"/>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77200" cy="5580000"/>
                  <wp:docPr id="9" name="Picture 9"/>
                  <wp:cNvGraphicFramePr>
                    <a:graphicFrameLocks noChangeAspect="1"/>
                  </wp:cNvGraphicFramePr>
                  <a:graphic>
                    <a:graphicData uri="http://schemas.openxmlformats.org/drawingml/2006/picture">
                      <pic:pic>
                        <pic:nvPicPr>
                          <pic:cNvPr id="0" name="asamblea-conto-gl.png"/>
                          <pic:cNvPicPr/>
                        </pic:nvPicPr>
                        <pic:blipFill>
                          <a:blip r:embed="rId17"/>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10" name="Picture 10"/>
                  <wp:cNvGraphicFramePr>
                    <a:graphicFrameLocks noChangeAspect="1"/>
                  </wp:cNvGraphicFramePr>
                  <a:graphic>
                    <a:graphicData uri="http://schemas.openxmlformats.org/drawingml/2006/picture">
                      <pic:pic>
                        <pic:nvPicPr>
                          <pic:cNvPr id="0" name="asamblea-conto-es.png"/>
                          <pic:cNvPicPr/>
                        </pic:nvPicPr>
                        <pic:blipFill>
                          <a:blip r:embed="rId18"/>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nota-casas-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nota-casas-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4.º de Infantil (3-4 años)</w:t>
            </w:r>
          </w:p>
        </w:tc>
        <w:tc>
          <w:tcPr>
            <w:tcW w:type="dxa" w:w="4819"/>
            <w:shd w:val="clear" w:fill="F9FBFC"/>
          </w:tcPr>
          <w:p>
            <w:pPr>
              <w:spacing w:after="40"/>
            </w:pPr>
            <w:r>
              <w:rPr>
                <w:b w:val="0"/>
                <w:i w:val="0"/>
                <w:sz w:val="19"/>
              </w:rPr>
              <w:t>Acción expandida: la maestra dice y hace, y el grupo repite con el cuerpo</w:t>
            </w:r>
          </w:p>
        </w:tc>
      </w:tr>
      <w:tr>
        <w:tc>
          <w:tcPr>
            <w:tcW w:type="dxa" w:w="4819"/>
            <w:shd w:val="clear" w:fill="E8F4F8"/>
          </w:tcPr>
          <w:p>
            <w:pPr>
              <w:spacing w:after="40"/>
            </w:pPr>
            <w:r>
              <w:rPr>
                <w:b/>
                <w:i w:val="0"/>
                <w:color w:val="1B4965"/>
                <w:sz w:val="19"/>
              </w:rPr>
              <w:t>5.º de Infantil (4-5 años)</w:t>
            </w:r>
          </w:p>
        </w:tc>
        <w:tc>
          <w:tcPr>
            <w:tcW w:type="dxa" w:w="4819"/>
          </w:tcPr>
          <w:p>
            <w:pPr>
              <w:spacing w:after="40"/>
            </w:pPr>
            <w:r>
              <w:rPr>
                <w:b w:val="0"/>
                <w:i w:val="0"/>
                <w:sz w:val="19"/>
              </w:rPr>
              <w:t>Dramatizado, con paradas: la acción se congela y se retoma</w:t>
            </w:r>
          </w:p>
        </w:tc>
      </w:tr>
      <w:t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aparece la </w:t>
      </w:r>
      <w:r>
        <w:rPr>
          <w:b/>
          <w:i w:val="0"/>
        </w:rPr>
        <w:t>asamblea matinal</w:t>
      </w:r>
      <w:r>
        <w:rPr>
          <w:b w:val="0"/>
          <w:i w:val="0"/>
        </w:rPr>
        <w:t xml:space="preserve"> de ese mes: diez minutos en cuatro fases —apertura y saludo, foco rítmico, reto temático en inglés, y calma y transición—. Cada fase trae su consigna escrita, su grabación y su contador.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15" name="Picture 15"/>
                  <wp:cNvGraphicFramePr>
                    <a:graphicFrameLocks noChangeAspect="1"/>
                  </wp:cNvGraphicFramePr>
                  <a:graphic>
                    <a:graphicData uri="http://schemas.openxmlformats.org/drawingml/2006/picture">
                      <pic:pic>
                        <pic:nvPicPr>
                          <pic:cNvPr id="0" name="aula-backstage-gl.png"/>
                          <pic:cNvPicPr/>
                        </pic:nvPicPr>
                        <pic:blipFill>
                          <a:blip r:embed="rId23"/>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1915800" cy="5580000"/>
                  <wp:docPr id="16" name="Picture 16"/>
                  <wp:cNvGraphicFramePr>
                    <a:graphicFrameLocks noChangeAspect="1"/>
                  </wp:cNvGraphicFramePr>
                  <a:graphic>
                    <a:graphicData uri="http://schemas.openxmlformats.org/drawingml/2006/picture">
                      <pic:pic>
                        <pic:nvPicPr>
                          <pic:cNvPr id="0" name="aula-backstage-es.png"/>
                          <pic:cNvPicPr/>
                        </pic:nvPicPr>
                        <pic:blipFill>
                          <a:blip r:embed="rId24"/>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17" name="Picture 17"/>
                  <wp:cNvGraphicFramePr>
                    <a:graphicFrameLocks noChangeAspect="1"/>
                  </wp:cNvGraphicFramePr>
                  <a:graphic>
                    <a:graphicData uri="http://schemas.openxmlformats.org/drawingml/2006/picture">
                      <pic:pic>
                        <pic:nvPicPr>
                          <pic:cNvPr id="0" name="conto-palabras-gl.png"/>
                          <pic:cNvPicPr/>
                        </pic:nvPicPr>
                        <pic:blipFill>
                          <a:blip r:embed="rId25"/>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 gallego</w:t>
            </w:r>
          </w:p>
        </w:tc>
        <w:tc>
          <w:tcPr>
            <w:tcW w:type="dxa" w:w="4819"/>
          </w:tcPr>
          <w:p>
            <w:pPr>
              <w:jc w:val="center"/>
            </w:pPr>
            <w:r>
              <w:drawing>
                <wp:inline xmlns:a="http://schemas.openxmlformats.org/drawingml/2006/main" xmlns:pic="http://schemas.openxmlformats.org/drawingml/2006/picture">
                  <wp:extent cx="1532640" cy="5580000"/>
                  <wp:docPr id="18" name="Picture 18"/>
                  <wp:cNvGraphicFramePr>
                    <a:graphicFrameLocks noChangeAspect="1"/>
                  </wp:cNvGraphicFramePr>
                  <a:graphic>
                    <a:graphicData uri="http://schemas.openxmlformats.org/drawingml/2006/picture">
                      <pic:pic>
                        <pic:nvPicPr>
                          <pic:cNvPr id="0" name="conto-palabras-es.png"/>
                          <pic:cNvPicPr/>
                        </pic:nvPicPr>
                        <pic:blipFill>
                          <a:blip r:embed="rId26"/>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9" name="Picture 19"/>
                  <wp:cNvGraphicFramePr>
                    <a:graphicFrameLocks noChangeAspect="1"/>
                  </wp:cNvGraphicFramePr>
                  <a:graphic>
                    <a:graphicData uri="http://schemas.openxmlformats.org/drawingml/2006/picture">
                      <pic:pic>
                        <pic:nvPicPr>
                          <pic:cNvPr id="0" name="calendario-gl.png"/>
                          <pic:cNvPicPr/>
                        </pic:nvPicPr>
                        <pic:blipFill>
                          <a:blip r:embed="rId27"/>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0" name="Picture 20"/>
                  <wp:cNvGraphicFramePr>
                    <a:graphicFrameLocks noChangeAspect="1"/>
                  </wp:cNvGraphicFramePr>
                  <a:graphic>
                    <a:graphicData uri="http://schemas.openxmlformats.org/drawingml/2006/picture">
                      <pic:pic>
                        <pic:nvPicPr>
                          <pic:cNvPr id="0" name="calendario-es.png"/>
                          <pic:cNvPicPr/>
                        </pic:nvPicPr>
                        <pic:blipFill>
                          <a:blip r:embed="rId28"/>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del día, con su voz; el viernes, las veinte del reto;</w:t>
      </w:r>
    </w:p>
    <w:p>
      <w:pPr>
        <w:pStyle w:val="ListBullet"/>
        <w:spacing w:after="40"/>
      </w:pPr>
      <w:r>
        <w:rPr>
          <w:b w:val="0"/>
          <w:i w:val="0"/>
        </w:rPr>
        <w:t xml:space="preserve">el </w:t>
      </w:r>
      <w:r>
        <w:rPr>
          <w:b/>
          <w:i w:val="0"/>
        </w:rPr>
        <w:t>cuento de la semana</w:t>
      </w:r>
      <w:r>
        <w:rPr>
          <w:b w:val="0"/>
          <w:i w:val="0"/>
        </w:rPr>
        <w:t>, el que lleva esas palabras dentro.</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21" name="Picture 21"/>
                  <wp:cNvGraphicFramePr>
                    <a:graphicFrameLocks noChangeAspect="1"/>
                  </wp:cNvGraphicFramePr>
                  <a:graphic>
                    <a:graphicData uri="http://schemas.openxmlformats.org/drawingml/2006/picture">
                      <pic:pic>
                        <pic:nvPicPr>
                          <pic:cNvPr id="0" name="hoxe-familias-gl.png"/>
                          <pic:cNvPicPr/>
                        </pic:nvPicPr>
                        <pic:blipFill>
                          <a:blip r:embed="rId29"/>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2" name="Picture 22"/>
                  <wp:cNvGraphicFramePr>
                    <a:graphicFrameLocks noChangeAspect="1"/>
                  </wp:cNvGraphicFramePr>
                  <a:graphic>
                    <a:graphicData uri="http://schemas.openxmlformats.org/drawingml/2006/picture">
                      <pic:pic>
                        <pic:nvPicPr>
                          <pic:cNvPr id="0" name="hoxe-familias-es.png"/>
                          <pic:cNvPicPr/>
                        </pic:nvPicPr>
                        <pic:blipFill>
                          <a:blip r:embed="rId30"/>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Calendario</w:t>
            </w:r>
          </w:p>
        </w:tc>
        <w:tc>
          <w:tcPr>
            <w:tcW w:type="dxa" w:w="4819"/>
            <w:shd w:val="clear" w:fill="F9FBFC"/>
          </w:tcPr>
          <w:p>
            <w:pPr>
              <w:spacing w:after="40"/>
            </w:pPr>
            <w:r>
              <w:rPr>
                <w:b w:val="0"/>
                <w:i w:val="0"/>
                <w:sz w:val="19"/>
              </w:rPr>
              <w:t>El curso mes a mes, en la versión de casa (sección 5)</w:t>
            </w:r>
          </w:p>
        </w:tc>
      </w:tr>
      <w:tr>
        <w:tc>
          <w:tcPr>
            <w:tcW w:type="dxa" w:w="4819"/>
            <w:shd w:val="clear" w:fill="E8F4F8"/>
          </w:tcPr>
          <w:p>
            <w:pPr>
              <w:spacing w:after="40"/>
            </w:pPr>
            <w:r>
              <w:rPr>
                <w:b/>
                <w:i w:val="0"/>
                <w:color w:val="1B4965"/>
                <w:sz w:val="19"/>
              </w:rPr>
              <w:t>Explorar</w:t>
            </w:r>
          </w:p>
        </w:tc>
        <w:tc>
          <w:tcPr>
            <w:tcW w:type="dxa" w:w="4819"/>
          </w:tcPr>
          <w:p>
            <w:pPr>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explorar-familias-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explorar-familias-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La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Ejemplo cotidiano</w:t>
            </w:r>
          </w:p>
        </w:tc>
        <w:tc>
          <w:tcPr>
            <w:tcW w:type="dxa" w:w="4819"/>
          </w:tcPr>
          <w:p>
            <w:pPr>
              <w:spacing w:after="40"/>
            </w:pPr>
            <w:r>
              <w:rPr>
                <w:b w:val="0"/>
                <w:i w:val="0"/>
                <w:sz w:val="19"/>
              </w:rPr>
              <w:t>La misma idea dentro de una escena real</w:t>
            </w:r>
          </w:p>
        </w:tc>
      </w:tr>
      <w:tr>
        <w:tc>
          <w:tcPr>
            <w:tcW w:type="dxa" w:w="4819"/>
            <w:shd w:val="clear" w:fill="E8F4F8"/>
          </w:tcPr>
          <w:p>
            <w:pPr>
              <w:spacing w:after="40"/>
            </w:pPr>
            <w:r>
              <w:rPr>
                <w:b/>
                <w:i w:val="0"/>
                <w:color w:val="1B4965"/>
                <w:sz w:val="19"/>
              </w:rPr>
              <w:t>Lo que dice Lúa</w:t>
            </w:r>
          </w:p>
        </w:tc>
        <w:tc>
          <w:tcPr>
            <w:tcW w:type="dxa" w:w="4819"/>
            <w:shd w:val="clear" w:fill="F9FBFC"/>
          </w:tcPr>
          <w:p>
            <w:pPr>
              <w:spacing w:after="40"/>
            </w:pPr>
            <w:r>
              <w:rPr>
                <w:b w:val="0"/>
                <w:i w:val="0"/>
                <w:sz w:val="19"/>
              </w:rPr>
              <w:t>El cierre, en una frase</w:t>
            </w:r>
          </w:p>
        </w:tc>
      </w:tr>
      <w:t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42114" cy="5580000"/>
                  <wp:docPr id="25" name="Picture 25"/>
                  <wp:cNvGraphicFramePr>
                    <a:graphicFrameLocks noChangeAspect="1"/>
                  </wp:cNvGraphicFramePr>
                  <a:graphic>
                    <a:graphicData uri="http://schemas.openxmlformats.org/drawingml/2006/picture">
                      <pic:pic>
                        <pic:nvPicPr>
                          <pic:cNvPr id="0" name="academy-bloques-gl.png"/>
                          <pic:cNvPicPr/>
                        </pic:nvPicPr>
                        <pic:blipFill>
                          <a:blip r:embed="rId33"/>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26" name="Picture 26"/>
                  <wp:cNvGraphicFramePr>
                    <a:graphicFrameLocks noChangeAspect="1"/>
                  </wp:cNvGraphicFramePr>
                  <a:graphic>
                    <a:graphicData uri="http://schemas.openxmlformats.org/drawingml/2006/picture">
                      <pic:pic>
                        <pic:nvPicPr>
                          <pic:cNvPr id="0" name="academy-bloques-es.png"/>
                          <pic:cNvPicPr/>
                        </pic:nvPicPr>
                        <pic:blipFill>
                          <a:blip r:embed="rId34"/>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27" name="Picture 27"/>
                  <wp:cNvGraphicFramePr>
                    <a:graphicFrameLocks noChangeAspect="1"/>
                  </wp:cNvGraphicFramePr>
                  <a:graphic>
                    <a:graphicData uri="http://schemas.openxmlformats.org/drawingml/2006/picture">
                      <pic:pic>
                        <pic:nvPicPr>
                          <pic:cNvPr id="0" name="academy-lector-gl.png"/>
                          <pic:cNvPicPr/>
                        </pic:nvPicPr>
                        <pic:blipFill>
                          <a:blip r:embed="rId3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28" name="Picture 28"/>
                  <wp:cNvGraphicFramePr>
                    <a:graphicFrameLocks noChangeAspect="1"/>
                  </wp:cNvGraphicFramePr>
                  <a:graphic>
                    <a:graphicData uri="http://schemas.openxmlformats.org/drawingml/2006/picture">
                      <pic:pic>
                        <pic:nvPicPr>
                          <pic:cNvPr id="0" name="academy-lector-es.png"/>
                          <pic:cNvPicPr/>
                        </pic:nvPicPr>
                        <pic:blipFill>
                          <a:blip r:embed="rId3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9" name="Picture 29"/>
                  <wp:cNvGraphicFramePr>
                    <a:graphicFrameLocks noChangeAspect="1"/>
                  </wp:cNvGraphicFramePr>
                  <a:graphic>
                    <a:graphicData uri="http://schemas.openxmlformats.org/drawingml/2006/picture">
                      <pic:pic>
                        <pic:nvPicPr>
                          <pic:cNvPr id="0" name="guia-ingles-gl.png"/>
                          <pic:cNvPicPr/>
                        </pic:nvPicPr>
                        <pic:blipFill>
                          <a:blip r:embed="rId37"/>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30" name="Picture 30"/>
                  <wp:cNvGraphicFramePr>
                    <a:graphicFrameLocks noChangeAspect="1"/>
                  </wp:cNvGraphicFramePr>
                  <a:graphic>
                    <a:graphicData uri="http://schemas.openxmlformats.org/drawingml/2006/picture">
                      <pic:pic>
                        <pic:nvPicPr>
                          <pic:cNvPr id="0" name="guia-ingles-es.png"/>
                          <pic:cNvPicPr/>
                        </pic:nvPicPr>
                        <pic:blipFill>
                          <a:blip r:embed="rId38"/>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 el aula</w:t>
            </w:r>
          </w:p>
        </w:tc>
        <w:tc>
          <w:tcPr>
            <w:tcW w:type="dxa" w:w="4819"/>
            <w:shd w:val="clear" w:fill="F9FBFC"/>
          </w:tcPr>
          <w:p>
            <w:pPr>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31" name="Picture 31"/>
                  <wp:cNvGraphicFramePr>
                    <a:graphicFrameLocks noChangeAspect="1"/>
                  </wp:cNvGraphicFramePr>
                  <a:graphic>
                    <a:graphicData uri="http://schemas.openxmlformats.org/drawingml/2006/picture">
                      <pic:pic>
                        <pic:nvPicPr>
                          <pic:cNvPr id="0" name="steam-hoxe-na-aula-gl.png"/>
                          <pic:cNvPicPr/>
                        </pic:nvPicPr>
                        <pic:blipFill>
                          <a:blip r:embed="rId39"/>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32" name="Picture 32"/>
                  <wp:cNvGraphicFramePr>
                    <a:graphicFrameLocks noChangeAspect="1"/>
                  </wp:cNvGraphicFramePr>
                  <a:graphic>
                    <a:graphicData uri="http://schemas.openxmlformats.org/drawingml/2006/picture">
                      <pic:pic>
                        <pic:nvPicPr>
                          <pic:cNvPr id="0" name="steam-hoxe-na-aula-es.png"/>
                          <pic:cNvPicPr/>
                        </pic:nvPicPr>
                        <pic:blipFill>
                          <a:blip r:embed="rId40"/>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steam-hub-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steam-hub-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35" name="Picture 35"/>
                  <wp:cNvGraphicFramePr>
                    <a:graphicFrameLocks noChangeAspect="1"/>
                  </wp:cNvGraphicFramePr>
                  <a:graphic>
                    <a:graphicData uri="http://schemas.openxmlformats.org/drawingml/2006/picture">
                      <pic:pic>
                        <pic:nvPicPr>
                          <pic:cNvPr id="0" name="steam-sesion-aula-gl.png"/>
                          <pic:cNvPicPr/>
                        </pic:nvPicPr>
                        <pic:blipFill>
                          <a:blip r:embed="rId43"/>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36" name="Picture 36"/>
                  <wp:cNvGraphicFramePr>
                    <a:graphicFrameLocks noChangeAspect="1"/>
                  </wp:cNvGraphicFramePr>
                  <a:graphic>
                    <a:graphicData uri="http://schemas.openxmlformats.org/drawingml/2006/picture">
                      <pic:pic>
                        <pic:nvPicPr>
                          <pic:cNvPr id="0" name="steam-sesion-aula-es.png"/>
                          <pic:cNvPicPr/>
                        </pic:nvPicPr>
                        <pic:blipFill>
                          <a:blip r:embed="rId44"/>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37" name="Picture 37"/>
                  <wp:cNvGraphicFramePr>
                    <a:graphicFrameLocks noChangeAspect="1"/>
                  </wp:cNvGraphicFramePr>
                  <a:graphic>
                    <a:graphicData uri="http://schemas.openxmlformats.org/drawingml/2006/picture">
                      <pic:pic>
                        <pic:nvPicPr>
                          <pic:cNvPr id="0" name="steam-sesion-casa-gl.png"/>
                          <pic:cNvPicPr/>
                        </pic:nvPicPr>
                        <pic:blipFill>
                          <a:blip r:embed="rId45"/>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38" name="Picture 38"/>
                  <wp:cNvGraphicFramePr>
                    <a:graphicFrameLocks noChangeAspect="1"/>
                  </wp:cNvGraphicFramePr>
                  <a:graphic>
                    <a:graphicData uri="http://schemas.openxmlformats.org/drawingml/2006/picture">
                      <pic:pic>
                        <pic:nvPicPr>
                          <pic:cNvPr id="0" name="steam-sesion-casa-es.png"/>
                          <pic:cNvPicPr/>
                        </pic:nvPicPr>
                        <pic:blipFill>
                          <a:blip r:embed="rId46"/>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las 4.000 por curso, mes, semana y día, con su sonido y el gesto, y un buscador en las tres lenguas;</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w:t>
      </w:r>
    </w:p>
    <w:p>
      <w:pPr>
        <w:pStyle w:val="ListBullet"/>
        <w:spacing w:after="40"/>
      </w:pPr>
      <w:r>
        <w:rPr>
          <w:b/>
          <w:i w:val="0"/>
        </w:rPr>
        <w:t>Vocabulario de uso habitual</w:t>
      </w:r>
      <w:r>
        <w:rPr>
          <w:b w:val="0"/>
          <w:i w:val="0"/>
        </w:rPr>
        <w:t>: 3.995 palabras del inglés, con su definición y una frase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044981" cy="5580000"/>
                  <wp:docPr id="39" name="Picture 39"/>
                  <wp:cNvGraphicFramePr>
                    <a:graphicFrameLocks noChangeAspect="1"/>
                  </wp:cNvGraphicFramePr>
                  <a:graphic>
                    <a:graphicData uri="http://schemas.openxmlformats.org/drawingml/2006/picture">
                      <pic:pic>
                        <pic:nvPicPr>
                          <pic:cNvPr id="0" name="premios-gl.png"/>
                          <pic:cNvPicPr/>
                        </pic:nvPicPr>
                        <pic:blipFill>
                          <a:blip r:embed="rId47"/>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40" name="Picture 40"/>
                  <wp:cNvGraphicFramePr>
                    <a:graphicFrameLocks noChangeAspect="1"/>
                  </wp:cNvGraphicFramePr>
                  <a:graphic>
                    <a:graphicData uri="http://schemas.openxmlformats.org/drawingml/2006/picture">
                      <pic:pic>
                        <pic:nvPicPr>
                          <pic:cNvPr id="0" name="premios-es.png"/>
                          <pic:cNvPicPr/>
                        </pic:nvPicPr>
                        <pic:blipFill>
                          <a:blip r:embed="rId48"/>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