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Las lenguas y la voz</w:t>
      </w:r>
    </w:p>
    <w:p>
      <w:pPr>
        <w:spacing w:after="20"/>
        <w:ind w:left="340"/>
      </w:pPr>
      <w:r>
        <w:rPr>
          <w:b/>
          <w:color w:val="1B4965"/>
        </w:rPr>
        <w:t xml:space="preserve">8        </w:t>
      </w:r>
      <w:r>
        <w:t>Los premios de Lúa</w:t>
      </w:r>
    </w:p>
    <w:p>
      <w:pPr>
        <w:spacing w:after="20"/>
        <w:ind w:left="340"/>
      </w:pPr>
      <w:r>
        <w:rPr>
          <w:b/>
          <w:color w:val="1B4965"/>
        </w:rPr>
        <w:t xml:space="preserve">9        </w:t>
      </w:r>
      <w:r>
        <w:t>Sin conexión, sin cuentas y sin datos</w:t>
      </w:r>
    </w:p>
    <w:p>
      <w:pPr>
        <w:spacing w:after="20"/>
        <w:ind w:left="340"/>
      </w:pPr>
      <w:r>
        <w:rPr>
          <w:b/>
          <w:color w:val="1B4965"/>
        </w:rPr>
        <w:t xml:space="preserve">10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El curso entero: diez meses,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diez meses del curso,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0066019"/>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2304000" cy="10066019"/>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2304000" cy="10066019"/>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2304000" cy="10066019"/>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671068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2304000" cy="671068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2304000" cy="671068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2304000" cy="671068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10"/>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10"/>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10"/>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10"/>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671068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2304000" cy="671068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671068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2304000" cy="6710680"/>
                          </a:xfrm>
                          <a:prstGeom prst="rect"/>
                        </pic:spPr>
                      </pic:pic>
                    </a:graphicData>
                  </a:graphic>
                </wp:inline>
              </w:drawing>
            </w:r>
          </w:p>
          <w:p>
            <w:pPr>
              <w:spacing w:after="160"/>
              <w:jc w:val="center"/>
            </w:pPr>
            <w:r>
              <w:rPr>
                <w:color w:val="6B7280"/>
                <w:sz w:val="17"/>
              </w:rPr>
              <w:t>La asamblea matinal, fase 1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los </w:t>
      </w:r>
      <w:r>
        <w:rPr>
          <w:b/>
          <w:i w:val="0"/>
        </w:rPr>
        <w:t>diez meses del curso</w:t>
      </w:r>
      <w:r>
        <w:rPr>
          <w:b w:val="0"/>
          <w:i w:val="0"/>
        </w:rPr>
        <w:t xml:space="preserve">,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3" name="Picture 13"/>
                  <wp:cNvGraphicFramePr>
                    <a:graphicFrameLocks noChangeAspect="1"/>
                  </wp:cNvGraphicFramePr>
                  <a:graphic>
                    <a:graphicData uri="http://schemas.openxmlformats.org/drawingml/2006/picture">
                      <pic:pic>
                        <pic:nvPicPr>
                          <pic:cNvPr id="0" name="calendario-gl.png"/>
                          <pic:cNvPicPr/>
                        </pic:nvPicPr>
                        <pic:blipFill>
                          <a:blip r:embed="rId2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4" name="Picture 14"/>
                  <wp:cNvGraphicFramePr>
                    <a:graphicFrameLocks noChangeAspect="1"/>
                  </wp:cNvGraphicFramePr>
                  <a:graphic>
                    <a:graphicData uri="http://schemas.openxmlformats.org/drawingml/2006/picture">
                      <pic:pic>
                        <pic:nvPicPr>
                          <pic:cNvPr id="0" name="calendario-es.png"/>
                          <pic:cNvPicPr/>
                        </pic:nvPicPr>
                        <pic:blipFill>
                          <a:blip r:embed="rId2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spacing w:after="40"/>
      </w:pPr>
      <w:r>
        <w:rPr>
          <w:b w:val="0"/>
          <w:i w:val="0"/>
        </w:rPr>
        <w:t>Cómo se aprende a hablar</w:t>
      </w:r>
    </w:p>
    <w:p>
      <w:pPr>
        <w:pStyle w:val="ListNumber"/>
        <w:spacing w:after="40"/>
      </w:pPr>
      <w:r>
        <w:rPr>
          <w:b w:val="0"/>
          <w:i w:val="0"/>
        </w:rPr>
        <w:t>El baño de lenguaje en las rutinas</w:t>
      </w:r>
    </w:p>
    <w:p>
      <w:pPr>
        <w:pStyle w:val="ListNumber"/>
        <w:spacing w:after="40"/>
      </w:pPr>
      <w:r>
        <w:rPr>
          <w:b w:val="0"/>
          <w:i w:val="0"/>
        </w:rPr>
        <w:t>Turnos de conversación y atención conjunta</w:t>
      </w:r>
    </w:p>
    <w:p>
      <w:pPr>
        <w:pStyle w:val="ListNumber"/>
        <w:spacing w:after="40"/>
      </w:pPr>
      <w:r>
        <w:rPr>
          <w:b w:val="0"/>
          <w:i w:val="0"/>
        </w:rPr>
        <w:t>Juego corporal y espacios sin pantallas</w:t>
      </w:r>
    </w:p>
    <w:p>
      <w:pPr>
        <w:pStyle w:val="ListNumbe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5" name="Picture 15"/>
                  <wp:cNvGraphicFramePr>
                    <a:graphicFrameLocks noChangeAspect="1"/>
                  </wp:cNvGraphicFramePr>
                  <a:graphic>
                    <a:graphicData uri="http://schemas.openxmlformats.org/drawingml/2006/picture">
                      <pic:pic>
                        <pic:nvPicPr>
                          <pic:cNvPr id="0" name="academy-bloques-gl.png"/>
                          <pic:cNvPicPr/>
                        </pic:nvPicPr>
                        <pic:blipFill>
                          <a:blip r:embed="rId23"/>
                          <a:stretch>
                            <a:fillRect/>
                          </a:stretch>
                        </pic:blipFill>
                        <pic:spPr>
                          <a:xfrm>
                            <a:off x="0" y="0"/>
                            <a:ext cx="2304000" cy="7829126"/>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2304000" cy="7829126"/>
                  <wp:docPr id="16" name="Picture 16"/>
                  <wp:cNvGraphicFramePr>
                    <a:graphicFrameLocks noChangeAspect="1"/>
                  </wp:cNvGraphicFramePr>
                  <a:graphic>
                    <a:graphicData uri="http://schemas.openxmlformats.org/drawingml/2006/picture">
                      <pic:pic>
                        <pic:nvPicPr>
                          <pic:cNvPr id="0" name="academy-bloques-es.png"/>
                          <pic:cNvPicPr/>
                        </pic:nvPicPr>
                        <pic:blipFill>
                          <a:blip r:embed="rId24"/>
                          <a:stretch>
                            <a:fillRect/>
                          </a:stretch>
                        </pic:blipFill>
                        <pic:spPr>
                          <a:xfrm>
                            <a:off x="0" y="0"/>
                            <a:ext cx="2304000" cy="7829126"/>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cademy-lector-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cademy-lector-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19" name="Picture 19"/>
                  <wp:cNvGraphicFramePr>
                    <a:graphicFrameLocks noChangeAspect="1"/>
                  </wp:cNvGraphicFramePr>
                  <a:graphic>
                    <a:graphicData uri="http://schemas.openxmlformats.org/drawingml/2006/picture">
                      <pic:pic>
                        <pic:nvPicPr>
                          <pic:cNvPr id="0" name="guia-ingles-gl.png"/>
                          <pic:cNvPicPr/>
                        </pic:nvPicPr>
                        <pic:blipFill>
                          <a:blip r:embed="rId27"/>
                          <a:stretch>
                            <a:fillRect/>
                          </a:stretch>
                        </pic:blipFill>
                        <pic:spPr>
                          <a:xfrm>
                            <a:off x="0" y="0"/>
                            <a:ext cx="2304000" cy="838835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2304000" cy="8388350"/>
                  <wp:docPr id="20" name="Picture 20"/>
                  <wp:cNvGraphicFramePr>
                    <a:graphicFrameLocks noChangeAspect="1"/>
                  </wp:cNvGraphicFramePr>
                  <a:graphic>
                    <a:graphicData uri="http://schemas.openxmlformats.org/drawingml/2006/picture">
                      <pic:pic>
                        <pic:nvPicPr>
                          <pic:cNvPr id="0" name="guia-ingles-es.png"/>
                          <pic:cNvPicPr/>
                        </pic:nvPicPr>
                        <pic:blipFill>
                          <a:blip r:embed="rId28"/>
                          <a:stretch>
                            <a:fillRect/>
                          </a:stretch>
                        </pic:blipFill>
                        <pic:spPr>
                          <a:xfrm>
                            <a:off x="0" y="0"/>
                            <a:ext cx="2304000" cy="838835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dos o tres palabras y una orden de cuerpo por sesión, con su grabación: se pulsa, se oye cómo se dice, y luego lo dice la persona adulta. No hace falta saber inglés para usarlo; hace falta oírlo antes. Las grabaciones van despacio a propósito.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8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2302913"/>
                  <wp:docPr id="21" name="Picture 21"/>
                  <wp:cNvGraphicFramePr>
                    <a:graphicFrameLocks noChangeAspect="1"/>
                  </wp:cNvGraphicFramePr>
                  <a:graphic>
                    <a:graphicData uri="http://schemas.openxmlformats.org/drawingml/2006/picture">
                      <pic:pic>
                        <pic:nvPicPr>
                          <pic:cNvPr id="0" name="premios-gl.png"/>
                          <pic:cNvPicPr/>
                        </pic:nvPicPr>
                        <pic:blipFill>
                          <a:blip r:embed="rId29"/>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2304000" cy="12302913"/>
                  <wp:docPr id="22" name="Picture 22"/>
                  <wp:cNvGraphicFramePr>
                    <a:graphicFrameLocks noChangeAspect="1"/>
                  </wp:cNvGraphicFramePr>
                  <a:graphic>
                    <a:graphicData uri="http://schemas.openxmlformats.org/drawingml/2006/picture">
                      <pic:pic>
                        <pic:nvPicPr>
                          <pic:cNvPr id="0" name="premios-es.png"/>
                          <pic:cNvPicPr/>
                        </pic:nvPicPr>
                        <pic:blipFill>
                          <a:blip r:embed="rId30"/>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9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10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