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tres minutos al día con la criatura</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asamblea de cada día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la asamblea del día del grupo, arriba, con su tema, sus cuatro fases con los minutos de cada una y un solo botón, </w:t>
      </w:r>
      <w:r>
        <w:rPr>
          <w:b/>
          <w:i w:val="0"/>
        </w:rPr>
        <w:t>Comenzar la asamblea</w:t>
      </w:r>
      <w:r>
        <w:rPr>
          <w:b w:val="0"/>
          <w:i w:val="0"/>
        </w:rPr>
        <w:t>. No hay que bajar para encontrarlo.</w:t>
      </w:r>
    </w:p>
    <w:p>
      <w:pPr>
        <w:spacing w:after="120"/>
      </w:pPr>
      <w:r>
        <w:rPr>
          <w:b w:val="0"/>
          <w:i w:val="0"/>
        </w:rPr>
        <w:t>El grupo se elige una vez, en el chip de arriba —«0-2 años ▾»—, y vale para todo el portal. No se guarda. Debajo de la asamblea van:</w:t>
      </w:r>
    </w:p>
    <w:p>
      <w:pPr>
        <w:pStyle w:val="ListBullet"/>
        <w:spacing w:after="40"/>
      </w:pPr>
      <w:r>
        <w:rPr>
          <w:b w:val="0"/>
          <w:i w:val="0"/>
        </w:rPr>
        <w:t xml:space="preserve">las </w:t>
      </w:r>
      <w:r>
        <w:rPr>
          <w:b/>
          <w:i w:val="0"/>
        </w:rPr>
        <w:t>palabras de hoy</w:t>
      </w:r>
      <w:r>
        <w:rPr>
          <w:b w:val="0"/>
          <w:i w:val="0"/>
        </w:rPr>
        <w:t xml:space="preserve"> en inglés, con el tema de la semana, su grabación y el gesto, y la hoja con las 4.000 del trayecto;</w:t>
      </w:r>
    </w:p>
    <w:p>
      <w:pPr>
        <w:pStyle w:val="ListBullet"/>
        <w:spacing w:after="40"/>
      </w:pPr>
      <w:r>
        <w:rPr>
          <w:b w:val="0"/>
          <w:i w:val="0"/>
        </w:rPr>
        <w:t xml:space="preserve">el </w:t>
      </w:r>
      <w:r>
        <w:rPr>
          <w:b/>
          <w:i w:val="0"/>
        </w:rPr>
        <w:t>cuento de la semana</w:t>
      </w:r>
      <w:r>
        <w:rPr>
          <w:b w:val="0"/>
          <w:i w:val="0"/>
        </w:rPr>
        <w:t>, que lleva esas palabras dentro;</w:t>
      </w:r>
    </w:p>
    <w:p>
      <w:pPr>
        <w:pStyle w:val="ListBullet"/>
        <w:spacing w:after="40"/>
      </w:pPr>
      <w:r>
        <w:rPr>
          <w:b w:val="0"/>
          <w:i w:val="0"/>
        </w:rPr>
        <w:t xml:space="preserve">la </w:t>
      </w:r>
      <w:r>
        <w:rPr>
          <w:b/>
          <w:i w:val="0"/>
        </w:rPr>
        <w:t>dinámica</w:t>
      </w:r>
      <w:r>
        <w:rPr>
          <w:b w:val="0"/>
          <w:i w:val="0"/>
        </w:rPr>
        <w:t xml:space="preserve"> del día;</w:t>
      </w:r>
    </w:p>
    <w:p>
      <w:pPr>
        <w:pStyle w:val="ListBullet"/>
        <w:spacing w:after="40"/>
      </w:pPr>
      <w:r>
        <w:rPr>
          <w:b w:val="0"/>
          <w:i w:val="0"/>
        </w:rPr>
        <w:t xml:space="preserve">la </w:t>
      </w:r>
      <w:r>
        <w:rPr>
          <w:b/>
          <w:i w:val="0"/>
        </w:rPr>
        <w:t>ciencia</w:t>
      </w:r>
      <w:r>
        <w:rPr>
          <w:b w:val="0"/>
          <w:i w:val="0"/>
        </w:rPr>
        <w:t>: el día que le toca al curso, la sesión entera; los demás días, cuándo toca —«Toca el miércoles de la semana 2 de noviembre»—, y se abre para prepararla.</w:t>
      </w:r>
    </w:p>
    <w:p>
      <w:pPr>
        <w:spacing w:after="120"/>
      </w:pPr>
      <w:r>
        <w:rPr>
          <w:b w:val="0"/>
          <w:i w:val="0"/>
        </w:rPr>
        <w:t>El fin de semana enseña la asamblea del lunes, y lo dice. En julio y agosto enseña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2304000" cy="5116893"/>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2304000" cy="5116893"/>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277200" cy="5580000"/>
                  <wp:docPr id="9" name="Picture 9"/>
                  <wp:cNvGraphicFramePr>
                    <a:graphicFrameLocks noChangeAspect="1"/>
                  </wp:cNvGraphicFramePr>
                  <a:graphic>
                    <a:graphicData uri="http://schemas.openxmlformats.org/drawingml/2006/picture">
                      <pic:pic>
                        <pic:nvPicPr>
                          <pic:cNvPr id="0" name="asamblea-conto-gl.png"/>
                          <pic:cNvPicPr/>
                        </pic:nvPicPr>
                        <pic:blipFill>
                          <a:blip r:embed="rId17"/>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10" name="Picture 10"/>
                  <wp:cNvGraphicFramePr>
                    <a:graphicFrameLocks noChangeAspect="1"/>
                  </wp:cNvGraphicFramePr>
                  <a:graphic>
                    <a:graphicData uri="http://schemas.openxmlformats.org/drawingml/2006/picture">
                      <pic:pic>
                        <pic:nvPicPr>
                          <pic:cNvPr id="0" name="asamblea-conto-es.png"/>
                          <pic:cNvPicPr/>
                        </pic:nvPicPr>
                        <pic:blipFill>
                          <a:blip r:embed="rId18"/>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nota-casas-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nota-casas-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7" name="Picture 17"/>
                  <wp:cNvGraphicFramePr>
                    <a:graphicFrameLocks noChangeAspect="1"/>
                  </wp:cNvGraphicFramePr>
                  <a:graphic>
                    <a:graphicData uri="http://schemas.openxmlformats.org/drawingml/2006/picture">
                      <pic:pic>
                        <pic:nvPicPr>
                          <pic:cNvPr id="0" name="conto-palabras-gl.png"/>
                          <pic:cNvPicPr/>
                        </pic:nvPicPr>
                        <pic:blipFill>
                          <a:blip r:embed="rId25"/>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 gallego</w:t>
            </w:r>
          </w:p>
        </w:tc>
        <w:tc>
          <w:tcPr>
            <w:tcW w:type="dxa" w:w="4819"/>
          </w:tcPr>
          <w:p>
            <w:pPr>
              <w:jc w:val="center"/>
            </w:pPr>
            <w:r>
              <w:drawing>
                <wp:inline xmlns:a="http://schemas.openxmlformats.org/drawingml/2006/main" xmlns:pic="http://schemas.openxmlformats.org/drawingml/2006/picture">
                  <wp:extent cx="1532640" cy="5580000"/>
                  <wp:docPr id="18" name="Picture 18"/>
                  <wp:cNvGraphicFramePr>
                    <a:graphicFrameLocks noChangeAspect="1"/>
                  </wp:cNvGraphicFramePr>
                  <a:graphic>
                    <a:graphicData uri="http://schemas.openxmlformats.org/drawingml/2006/picture">
                      <pic:pic>
                        <pic:nvPicPr>
                          <pic:cNvPr id="0" name="conto-palabras-es.png"/>
                          <pic:cNvPicPr/>
                        </pic:nvPicPr>
                        <pic:blipFill>
                          <a:blip r:embed="rId26"/>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9" name="Picture 19"/>
                  <wp:cNvGraphicFramePr>
                    <a:graphicFrameLocks noChangeAspect="1"/>
                  </wp:cNvGraphicFramePr>
                  <a:graphic>
                    <a:graphicData uri="http://schemas.openxmlformats.org/drawingml/2006/picture">
                      <pic:pic>
                        <pic:nvPicPr>
                          <pic:cNvPr id="0" name="calendario-gl.png"/>
                          <pic:cNvPicPr/>
                        </pic:nvPicPr>
                        <pic:blipFill>
                          <a:blip r:embed="rId27"/>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0" name="Picture 20"/>
                  <wp:cNvGraphicFramePr>
                    <a:graphicFrameLocks noChangeAspect="1"/>
                  </wp:cNvGraphicFramePr>
                  <a:graphic>
                    <a:graphicData uri="http://schemas.openxmlformats.org/drawingml/2006/picture">
                      <pic:pic>
                        <pic:nvPicPr>
                          <pic:cNvPr id="0" name="calendario-es.png"/>
                          <pic:cNvPicPr/>
                        </pic:nvPicPr>
                        <pic:blipFill>
                          <a:blip r:embed="rId28"/>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con lo que toca hoy en una sola pantalla:</w:t>
      </w:r>
    </w:p>
    <w:p>
      <w:pPr>
        <w:pStyle w:val="ListBullet"/>
        <w:spacing w:after="40"/>
      </w:pPr>
      <w:r>
        <w:rPr>
          <w:b w:val="0"/>
          <w:i w:val="0"/>
        </w:rPr>
        <w:t xml:space="preserve">el </w:t>
      </w:r>
      <w:r>
        <w:rPr>
          <w:b/>
          <w:i w:val="0"/>
        </w:rPr>
        <w:t>juego de tres minutos</w:t>
      </w:r>
      <w:r>
        <w:rPr>
          <w:b w:val="0"/>
          <w:i w:val="0"/>
        </w:rPr>
        <w:t xml:space="preserve">, con el momento del día como título —«Antes de dormir»— y un solo botón, </w:t>
      </w:r>
      <w:r>
        <w:rPr>
          <w:b/>
          <w:i w:val="0"/>
        </w:rPr>
        <w:t>Comenzar</w:t>
      </w:r>
      <w:r>
        <w:rPr>
          <w:b w:val="0"/>
          <w:i w:val="0"/>
        </w:rPr>
        <w:t xml:space="preserve">. Dentro está el texto entero, la frase en inglés con sus palabras, y «Por qué funciona», plegado hasta que se pide. </w:t>
      </w:r>
      <w:r>
        <w:rPr>
          <w:b/>
          <w:i w:val="0"/>
        </w:rPr>
        <w:t>Ya lo hicimos</w:t>
      </w:r>
      <w:r>
        <w:rPr>
          <w:b w:val="0"/>
          <w:i w:val="0"/>
        </w:rPr>
        <w:t xml:space="preserve"> suma a la racha de la persona adulta;</w:t>
      </w:r>
    </w:p>
    <w:p>
      <w:pPr>
        <w:pStyle w:val="ListBullet"/>
        <w:spacing w:after="40"/>
      </w:pPr>
      <w:r>
        <w:rPr>
          <w:b w:val="0"/>
          <w:i w:val="0"/>
        </w:rPr>
        <w:t xml:space="preserve">las </w:t>
      </w:r>
      <w:r>
        <w:rPr>
          <w:b/>
          <w:i w:val="0"/>
        </w:rPr>
        <w:t>palabras en inglés</w:t>
      </w:r>
      <w:r>
        <w:rPr>
          <w:b w:val="0"/>
          <w:i w:val="0"/>
        </w:rPr>
        <w:t xml:space="preserve"> del día, con su voz; el viernes, las veinte del reto;</w:t>
      </w:r>
    </w:p>
    <w:p>
      <w:pPr>
        <w:pStyle w:val="ListBullet"/>
        <w:spacing w:after="40"/>
      </w:pPr>
      <w:r>
        <w:rPr>
          <w:b w:val="0"/>
          <w:i w:val="0"/>
        </w:rPr>
        <w:t xml:space="preserve">el </w:t>
      </w:r>
      <w:r>
        <w:rPr>
          <w:b/>
          <w:i w:val="0"/>
        </w:rPr>
        <w:t>cuento de la semana</w:t>
      </w:r>
      <w:r>
        <w:rPr>
          <w:b w:val="0"/>
          <w:i w:val="0"/>
        </w:rPr>
        <w:t>, el que lleva esas palabras dentro.</w:t>
      </w:r>
    </w:p>
    <w:p>
      <w:pPr>
        <w:spacing w:after="120"/>
      </w:pPr>
      <w:r>
        <w:rPr>
          <w:b w:val="0"/>
          <w:i w:val="0"/>
        </w:rPr>
        <w:t>La edad se elige una vez, en el chip de arriba, y vale para Hoy, el calendario y Explorar. No se guarda. El fin de semana enseña el juego del lunes, y lo dice.</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1" name="Picture 21"/>
                  <wp:cNvGraphicFramePr>
                    <a:graphicFrameLocks noChangeAspect="1"/>
                  </wp:cNvGraphicFramePr>
                  <a:graphic>
                    <a:graphicData uri="http://schemas.openxmlformats.org/drawingml/2006/picture">
                      <pic:pic>
                        <pic:nvPicPr>
                          <pic:cNvPr id="0" name="hoxe-familias-gl.png"/>
                          <pic:cNvPicPr/>
                        </pic:nvPicPr>
                        <pic:blipFill>
                          <a:blip r:embed="rId29"/>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2" name="Picture 22"/>
                  <wp:cNvGraphicFramePr>
                    <a:graphicFrameLocks noChangeAspect="1"/>
                  </wp:cNvGraphicFramePr>
                  <a:graphic>
                    <a:graphicData uri="http://schemas.openxmlformats.org/drawingml/2006/picture">
                      <pic:pic>
                        <pic:nvPicPr>
                          <pic:cNvPr id="0" name="hoxe-familias-es.png"/>
                          <pic:cNvPicPr/>
                        </pic:nvPicPr>
                        <pic:blipFill>
                          <a:blip r:embed="rId30"/>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explorar-familias-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explorar-familias-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25" name="Picture 25"/>
                  <wp:cNvGraphicFramePr>
                    <a:graphicFrameLocks noChangeAspect="1"/>
                  </wp:cNvGraphicFramePr>
                  <a:graphic>
                    <a:graphicData uri="http://schemas.openxmlformats.org/drawingml/2006/picture">
                      <pic:pic>
                        <pic:nvPicPr>
                          <pic:cNvPr id="0" name="academy-bloques-gl.png"/>
                          <pic:cNvPicPr/>
                        </pic:nvPicPr>
                        <pic:blipFill>
                          <a:blip r:embed="rId33"/>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26" name="Picture 26"/>
                  <wp:cNvGraphicFramePr>
                    <a:graphicFrameLocks noChangeAspect="1"/>
                  </wp:cNvGraphicFramePr>
                  <a:graphic>
                    <a:graphicData uri="http://schemas.openxmlformats.org/drawingml/2006/picture">
                      <pic:pic>
                        <pic:nvPicPr>
                          <pic:cNvPr id="0" name="academy-bloques-es.png"/>
                          <pic:cNvPicPr/>
                        </pic:nvPicPr>
                        <pic:blipFill>
                          <a:blip r:embed="rId34"/>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7" name="Picture 27"/>
                  <wp:cNvGraphicFramePr>
                    <a:graphicFrameLocks noChangeAspect="1"/>
                  </wp:cNvGraphicFramePr>
                  <a:graphic>
                    <a:graphicData uri="http://schemas.openxmlformats.org/drawingml/2006/picture">
                      <pic:pic>
                        <pic:nvPicPr>
                          <pic:cNvPr id="0" name="academy-lector-gl.png"/>
                          <pic:cNvPicPr/>
                        </pic:nvPicPr>
                        <pic:blipFill>
                          <a:blip r:embed="rId3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28" name="Picture 28"/>
                  <wp:cNvGraphicFramePr>
                    <a:graphicFrameLocks noChangeAspect="1"/>
                  </wp:cNvGraphicFramePr>
                  <a:graphic>
                    <a:graphicData uri="http://schemas.openxmlformats.org/drawingml/2006/picture">
                      <pic:pic>
                        <pic:nvPicPr>
                          <pic:cNvPr id="0" name="academy-lector-es.png"/>
                          <pic:cNvPicPr/>
                        </pic:nvPicPr>
                        <pic:blipFill>
                          <a:blip r:embed="rId3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guia-ingles-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guia-ingles-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1" name="Picture 31"/>
                  <wp:cNvGraphicFramePr>
                    <a:graphicFrameLocks noChangeAspect="1"/>
                  </wp:cNvGraphicFramePr>
                  <a:graphic>
                    <a:graphicData uri="http://schemas.openxmlformats.org/drawingml/2006/picture">
                      <pic:pic>
                        <pic:nvPicPr>
                          <pic:cNvPr id="0" name="steam-hoxe-na-aula-gl.png"/>
                          <pic:cNvPicPr/>
                        </pic:nvPicPr>
                        <pic:blipFill>
                          <a:blip r:embed="rId39"/>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32" name="Picture 32"/>
                  <wp:cNvGraphicFramePr>
                    <a:graphicFrameLocks noChangeAspect="1"/>
                  </wp:cNvGraphicFramePr>
                  <a:graphic>
                    <a:graphicData uri="http://schemas.openxmlformats.org/drawingml/2006/picture">
                      <pic:pic>
                        <pic:nvPicPr>
                          <pic:cNvPr id="0" name="steam-hoxe-na-aula-es.png"/>
                          <pic:cNvPicPr/>
                        </pic:nvPicPr>
                        <pic:blipFill>
                          <a:blip r:embed="rId40"/>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steam-hub-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steam-hub-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5" name="Picture 35"/>
                  <wp:cNvGraphicFramePr>
                    <a:graphicFrameLocks noChangeAspect="1"/>
                  </wp:cNvGraphicFramePr>
                  <a:graphic>
                    <a:graphicData uri="http://schemas.openxmlformats.org/drawingml/2006/picture">
                      <pic:pic>
                        <pic:nvPicPr>
                          <pic:cNvPr id="0" name="steam-sesion-aula-gl.png"/>
                          <pic:cNvPicPr/>
                        </pic:nvPicPr>
                        <pic:blipFill>
                          <a:blip r:embed="rId4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36" name="Picture 36"/>
                  <wp:cNvGraphicFramePr>
                    <a:graphicFrameLocks noChangeAspect="1"/>
                  </wp:cNvGraphicFramePr>
                  <a:graphic>
                    <a:graphicData uri="http://schemas.openxmlformats.org/drawingml/2006/picture">
                      <pic:pic>
                        <pic:nvPicPr>
                          <pic:cNvPr id="0" name="steam-sesion-aula-es.png"/>
                          <pic:cNvPicPr/>
                        </pic:nvPicPr>
                        <pic:blipFill>
                          <a:blip r:embed="rId4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7" name="Picture 37"/>
                  <wp:cNvGraphicFramePr>
                    <a:graphicFrameLocks noChangeAspect="1"/>
                  </wp:cNvGraphicFramePr>
                  <a:graphic>
                    <a:graphicData uri="http://schemas.openxmlformats.org/drawingml/2006/picture">
                      <pic:pic>
                        <pic:nvPicPr>
                          <pic:cNvPr id="0" name="steam-sesion-casa-gl.png"/>
                          <pic:cNvPicPr/>
                        </pic:nvPicPr>
                        <pic:blipFill>
                          <a:blip r:embed="rId4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38" name="Picture 38"/>
                  <wp:cNvGraphicFramePr>
                    <a:graphicFrameLocks noChangeAspect="1"/>
                  </wp:cNvGraphicFramePr>
                  <a:graphic>
                    <a:graphicData uri="http://schemas.openxmlformats.org/drawingml/2006/picture">
                      <pic:pic>
                        <pic:nvPicPr>
                          <pic:cNvPr id="0" name="steam-sesion-casa-es.png"/>
                          <pic:cNvPicPr/>
                        </pic:nvPicPr>
                        <pic:blipFill>
                          <a:blip r:embed="rId4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las 4.000 por curso, mes, semana y día, con su sonido y el gesto, y un buscador en las tres lenguas;</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w:t>
      </w:r>
    </w:p>
    <w:p>
      <w:pPr>
        <w:pStyle w:val="ListBullet"/>
        <w:spacing w:after="40"/>
      </w:pPr>
      <w:r>
        <w:rPr>
          <w:b/>
          <w:i w:val="0"/>
        </w:rPr>
        <w:t>Vocabulario de uso habitual</w:t>
      </w:r>
      <w:r>
        <w:rPr>
          <w:b w:val="0"/>
          <w:i w:val="0"/>
        </w:rPr>
        <w:t>: 3.995 palabras del inglés, con su definición y una frase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39" name="Picture 39"/>
                  <wp:cNvGraphicFramePr>
                    <a:graphicFrameLocks noChangeAspect="1"/>
                  </wp:cNvGraphicFramePr>
                  <a:graphic>
                    <a:graphicData uri="http://schemas.openxmlformats.org/drawingml/2006/picture">
                      <pic:pic>
                        <pic:nvPicPr>
                          <pic:cNvPr id="0" name="premios-gl.png"/>
                          <pic:cNvPicPr/>
                        </pic:nvPicPr>
                        <pic:blipFill>
                          <a:blip r:embed="rId47"/>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40" name="Picture 40"/>
                  <wp:cNvGraphicFramePr>
                    <a:graphicFrameLocks noChangeAspect="1"/>
                  </wp:cNvGraphicFramePr>
                  <a:graphic>
                    <a:graphicData uri="http://schemas.openxmlformats.org/drawingml/2006/picture">
                      <pic:pic>
                        <pic:nvPicPr>
                          <pic:cNvPr id="0" name="premios-es.png"/>
                          <pic:cNvPicPr/>
                        </pic:nvPicPr>
                        <pic:blipFill>
                          <a:blip r:embed="rId48"/>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