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el </w:t>
      </w:r>
      <w:r>
        <w:rPr>
          <w:b/>
          <w:i w:val="0"/>
        </w:rPr>
        <w:t>núcleo del mes</w:t>
      </w:r>
      <w:r>
        <w:rPr>
          <w:b w:val="0"/>
          <w:i w:val="0"/>
        </w:rPr>
        <w:t>: las palabras u órdenes que se quedan todo el mes, con su grabación (un toque) y su gesto o lo que quieren decir (dos toques), y el objeto con que se presenta cada una que lo lleva. Es el mismo que enseñan el calendario y la casa ese día;</w:t>
      </w:r>
    </w:p>
    <w:p>
      <w:pPr>
        <w:pStyle w:val="ListBullet"/>
        <w:spacing w:after="40"/>
      </w:pPr>
      <w:r>
        <w:rPr>
          <w:b w:val="0"/>
          <w:i w:val="0"/>
        </w:rPr>
        <w:t xml:space="preserve">debajo, plegadas, las </w:t>
      </w:r>
      <w:r>
        <w:rPr>
          <w:b/>
          <w:i w:val="0"/>
        </w:rPr>
        <w:t>palabras de hoy</w:t>
      </w:r>
      <w:r>
        <w:rPr>
          <w:b w:val="0"/>
          <w:i w:val="0"/>
        </w:rPr>
        <w:t xml:space="preserve"> en inglés, como ampliación: al abrirlas salen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Canciones con pulso,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 La semana 4 vuelve aquí, con su grabación, el núcleo del mes anterior</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 Encima de las órdenes, una línea dice cómo darlas: callar de 3 a 5 segundos después de cada una y mirar la respuesta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Debajo de la tarjeta está el calendario del curso.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Al terminar: la nota para las casas</w:t>
      </w:r>
    </w:p>
    <w:p>
      <w:pPr>
        <w:spacing w:after="120"/>
      </w:pPr>
      <w:r>
        <w:rPr>
          <w:b w:val="0"/>
          <w:i w:val="0"/>
        </w:rPr>
        <w:t xml:space="preserve">Al pulsar </w:t>
      </w:r>
      <w:r>
        <w:rPr>
          <w:b/>
          <w:i w:val="0"/>
        </w:rPr>
        <w:t>Terminar</w:t>
      </w:r>
      <w:r>
        <w:rPr>
          <w:b w:val="0"/>
          <w:i w:val="0"/>
        </w:rPr>
        <w:t xml:space="preserve"> en la última fase, la asamblea no se cierra sin más: deja paso a </w:t>
      </w:r>
      <w:r>
        <w:rPr>
          <w:b/>
          <w:i w:val="0"/>
        </w:rPr>
        <w:t>la nota de hoy</w:t>
      </w:r>
      <w:r>
        <w:rPr>
          <w:b w:val="0"/>
          <w:i w:val="0"/>
        </w:rPr>
        <w:t>, para copiarla en la libreta, escribirla en la entrada o leérsela a la familia en la puerta. Sale de la unidad del mes, la misma que da las órdenes de la asamblea, así que lo que llega a casa es lo que se hizo en el círculo:</w:t>
      </w:r>
    </w:p>
    <w:p>
      <w:pPr>
        <w:pStyle w:val="ListBullet"/>
        <w:spacing w:after="40"/>
      </w:pPr>
      <w:r>
        <w:rPr>
          <w:b/>
          <w:i w:val="0"/>
        </w:rPr>
        <w:t>Lo que hicimos hoy</w:t>
      </w:r>
      <w:r>
        <w:rPr>
          <w:b w:val="0"/>
          <w:i w:val="0"/>
        </w:rPr>
        <w:t>: el centro de interés del mes;</w:t>
      </w:r>
    </w:p>
    <w:p>
      <w:pPr>
        <w:pStyle w:val="ListBullet"/>
        <w:spacing w:after="40"/>
      </w:pPr>
      <w:r>
        <w:rPr>
          <w:b/>
          <w:i w:val="0"/>
        </w:rPr>
        <w:t>Las palabras en inglés del mes</w:t>
      </w:r>
      <w:r>
        <w:rPr>
          <w:b w:val="0"/>
          <w:i w:val="0"/>
        </w:rPr>
        <w:t>: el núcleo, cada palabra con su voz, lo que quiere decir y su gesto, y una indicación para casa: decir una cuando salga en el día, con su gesto, sin pedir que la criatura la repita;</w:t>
      </w:r>
    </w:p>
    <w:p>
      <w:pPr>
        <w:pStyle w:val="ListBullet"/>
        <w:spacing w:after="40"/>
      </w:pPr>
      <w:r>
        <w:rPr>
          <w:b w:val="0"/>
          <w:i w:val="0"/>
        </w:rPr>
        <w:t xml:space="preserve">en segundo ciclo, además, </w:t>
      </w:r>
      <w:r>
        <w:rPr>
          <w:b/>
          <w:i w:val="0"/>
        </w:rPr>
        <w:t>Para hacer en casa</w:t>
      </w:r>
      <w:r>
        <w:rPr>
          <w:b w:val="0"/>
          <w:i w:val="0"/>
        </w:rPr>
        <w:t>: la micro-rutina del mes, con sus minutos, el momento del día y una escena de ejemplo.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9" name="Picture 9"/>
                  <wp:cNvGraphicFramePr>
                    <a:graphicFrameLocks noChangeAspect="1"/>
                  </wp:cNvGraphicFramePr>
                  <a:graphic>
                    <a:graphicData uri="http://schemas.openxmlformats.org/drawingml/2006/picture">
                      <pic:pic>
                        <pic:nvPicPr>
                          <pic:cNvPr id="0" name="nota-casas-gl.png"/>
                          <pic:cNvPicPr/>
                        </pic:nvPicPr>
                        <pic:blipFill>
                          <a:blip r:embed="rId17"/>
                          <a:stretch>
                            <a:fillRect/>
                          </a:stretch>
                        </pic:blipFill>
                        <pic:spPr>
                          <a:xfrm>
                            <a:off x="0" y="0"/>
                            <a:ext cx="1642114" cy="5580000"/>
                          </a:xfrm>
                          <a:prstGeom prst="rect"/>
                        </pic:spPr>
                      </pic:pic>
                    </a:graphicData>
                  </a:graphic>
                </wp:inline>
              </w:drawing>
            </w:r>
          </w:p>
          <w:p>
            <w:pPr>
              <w:spacing w:after="160"/>
              <w:jc w:val="center"/>
            </w:pPr>
            <w:r>
              <w:rPr>
                <w:color w:val="6B7280"/>
                <w:sz w:val="17"/>
              </w:rPr>
              <w:t>La nota de hoy para las casas, 4.º de Infantil · gallego</w:t>
            </w:r>
          </w:p>
        </w:tc>
        <w:tc>
          <w:tcPr>
            <w:tcW w:type="dxa" w:w="4819"/>
          </w:tcPr>
          <w:p>
            <w:pPr>
              <w:jc w:val="center"/>
            </w:pPr>
            <w:r>
              <w:drawing>
                <wp:inline xmlns:a="http://schemas.openxmlformats.org/drawingml/2006/main" xmlns:pic="http://schemas.openxmlformats.org/drawingml/2006/picture">
                  <wp:extent cx="1642114" cy="5580000"/>
                  <wp:docPr id="10" name="Picture 10"/>
                  <wp:cNvGraphicFramePr>
                    <a:graphicFrameLocks noChangeAspect="1"/>
                  </wp:cNvGraphicFramePr>
                  <a:graphic>
                    <a:graphicData uri="http://schemas.openxmlformats.org/drawingml/2006/picture">
                      <pic:pic>
                        <pic:nvPicPr>
                          <pic:cNvPr id="0" name="nota-casas-es.png"/>
                          <pic:cNvPicPr/>
                        </pic:nvPicPr>
                        <pic:blipFill>
                          <a:blip r:embed="rId18"/>
                          <a:stretch>
                            <a:fillRect/>
                          </a:stretch>
                        </pic:blipFill>
                        <pic:spPr>
                          <a:xfrm>
                            <a:off x="0" y="0"/>
                            <a:ext cx="1642114" cy="5580000"/>
                          </a:xfrm>
                          <a:prstGeom prst="rect"/>
                        </pic:spPr>
                      </pic:pic>
                    </a:graphicData>
                  </a:graphic>
                </wp:inline>
              </w:drawing>
            </w:r>
          </w:p>
          <w:p>
            <w:pPr>
              <w:spacing w:after="160"/>
              <w:jc w:val="center"/>
            </w:pPr>
            <w:r>
              <w:rPr>
                <w:color w:val="6B7280"/>
                <w:sz w:val="17"/>
              </w:rPr>
              <w:t>La nota de hoy para las casas, 4.º de Infantil · castellano</w:t>
            </w:r>
          </w:p>
        </w:tc>
      </w:tr>
    </w:tbl>
    <w:p>
      <w:pPr>
        <w:spacing w:after="80"/>
      </w:pPr>
    </w:p>
    <w:p>
      <w:pPr>
        <w:spacing w:after="120"/>
      </w:pPr>
      <w:r>
        <w:rPr>
          <w:b w:val="0"/>
          <w:i w:val="0"/>
        </w:rPr>
        <w:t xml:space="preserve">Las </w:t>
      </w:r>
      <w:r>
        <w:rPr>
          <w:b/>
          <w:i w:val="0"/>
        </w:rPr>
        <w:t>diez canciones con pulso</w:t>
      </w:r>
      <w:r>
        <w:rPr>
          <w:b w:val="0"/>
          <w:i w:val="0"/>
        </w:rPr>
        <w:t xml:space="preserve">, una por mes del curso, se abren aparte, desde </w:t>
      </w:r>
      <w:r>
        <w:rPr>
          <w:b w:val="0"/>
          <w:i/>
        </w:rPr>
        <w:t>Recursos → Canciones con pulso</w:t>
      </w:r>
      <w:r>
        <w:rPr>
          <w:b w:val="0"/>
          <w:i w:val="0"/>
        </w:rPr>
        <w:t xml:space="preserve">: cada una con su letra, su voz, el pulso dibujado y una consigna para la maestra (ver </w:t>
      </w:r>
      <w:r>
        <w:rPr>
          <w:b w:val="0"/>
          <w:i/>
        </w:rPr>
        <w:t>El pulso se ve, no se oye</w:t>
      </w:r>
      <w:r>
        <w:rPr>
          <w:b w:val="0"/>
          <w:i w:val="0"/>
        </w:rPr>
        <w:t>, en la sección 8).</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11" name="Picture 11"/>
                  <wp:cNvGraphicFramePr>
                    <a:graphicFrameLocks noChangeAspect="1"/>
                  </wp:cNvGraphicFramePr>
                  <a:graphic>
                    <a:graphicData uri="http://schemas.openxmlformats.org/drawingml/2006/picture">
                      <pic:pic>
                        <pic:nvPicPr>
                          <pic:cNvPr id="0" name="cancion-pulso-gl.png"/>
                          <pic:cNvPicPr/>
                        </pic:nvPicPr>
                        <pic:blipFill>
                          <a:blip r:embed="rId19"/>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gallego</w:t>
            </w:r>
          </w:p>
        </w:tc>
        <w:tc>
          <w:tcPr>
            <w:tcW w:type="dxa" w:w="4819"/>
          </w:tcPr>
          <w:p>
            <w:pPr>
              <w:jc w:val="center"/>
            </w:pPr>
            <w:r>
              <w:drawing>
                <wp:inline xmlns:a="http://schemas.openxmlformats.org/drawingml/2006/main" xmlns:pic="http://schemas.openxmlformats.org/drawingml/2006/picture">
                  <wp:extent cx="1768430" cy="5580000"/>
                  <wp:docPr id="12" name="Picture 12"/>
                  <wp:cNvGraphicFramePr>
                    <a:graphicFrameLocks noChangeAspect="1"/>
                  </wp:cNvGraphicFramePr>
                  <a:graphic>
                    <a:graphicData uri="http://schemas.openxmlformats.org/drawingml/2006/picture">
                      <pic:pic>
                        <pic:nvPicPr>
                          <pic:cNvPr id="0" name="cancion-pulso-es.png"/>
                          <pic:cNvPicPr/>
                        </pic:nvPicPr>
                        <pic:blipFill>
                          <a:blip r:embed="rId20"/>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 Si con el texto grande no cabe, la fase se desplaza en lugar de cortarse.</w:t>
      </w:r>
    </w:p>
    <w:p>
      <w:pPr>
        <w:spacing w:after="120"/>
      </w:pPr>
      <w:r>
        <w:rPr>
          <w:b w:val="0"/>
          <w:i w:val="0"/>
        </w:rPr>
        <w:t xml:space="preserve">La asamblea toma de la </w:t>
      </w:r>
      <w:r>
        <w:rPr>
          <w:b/>
          <w:i w:val="0"/>
        </w:rPr>
        <w:t>unidad del mes</w:t>
      </w:r>
      <w:r>
        <w:rPr>
          <w:b w:val="0"/>
          <w:i w:val="0"/>
        </w:rPr>
        <w:t xml:space="preserve"> lo que se queda el mes entero: el material, las órdenes y, en la apertura, las </w:t>
      </w:r>
      <w:r>
        <w:rPr>
          <w:b/>
          <w:i w:val="0"/>
        </w:rPr>
        <w:t>dos fórmulas del mes</w:t>
      </w:r>
      <w:r>
        <w:rPr>
          <w:b w:val="0"/>
          <w:i w:val="0"/>
        </w:rPr>
        <w:t xml:space="preserve"> («Good morning!», «Your turn!»…) con su grabación. La semana 4 vuelve también en la apertura el núcleo del mes anterior. En el reto, encima de las órdenes, una línea para la maestra: callar de 3 a 5 segundos después de cada orden, porque la espera es para el grupo, y devolver bien dicha, o un poco más larga, la respuesta que llegue, sin corregir. Debajo está </w:t>
      </w:r>
      <w:r>
        <w:rPr>
          <w:b/>
          <w:i w:val="0"/>
        </w:rPr>
        <w:t>Espera 5 s</w:t>
      </w:r>
      <w:r>
        <w:rPr>
          <w:b w:val="0"/>
          <w:i w:val="0"/>
        </w:rPr>
        <w:t>: se toca después de decir la orden y un anillo se llena en silencio durante esos segundos, sin sonido ni vibración, porque parte de las criaturas lleva audífono o implante y el silencio es lo que se está midiendo.</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Cada página trae una </w:t>
      </w:r>
      <w:r>
        <w:rPr>
          <w:b/>
          <w:i w:val="0"/>
        </w:rPr>
        <w:t>pregunta para compartir</w:t>
      </w:r>
      <w:r>
        <w:rPr>
          <w:b w:val="0"/>
          <w:i w:val="0"/>
        </w:rPr>
        <w:t xml:space="preserve"> y, debajo, </w:t>
      </w:r>
      <w:r>
        <w:rPr>
          <w:b/>
          <w:i w:val="0"/>
        </w:rPr>
        <w:t>Espera 5 s</w:t>
      </w:r>
      <w:r>
        <w:rPr>
          <w:b w:val="0"/>
          <w:i w:val="0"/>
        </w:rPr>
        <w:t>: se toca después de preguntar y un anillo se llena en silencio durante el tiempo de espera de ese cuento. Es la misma espera que la del reto de la asamblea.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en casa, los </w:t>
      </w:r>
      <w:r>
        <w:rPr>
          <w:b/>
          <w:i w:val="0"/>
        </w:rPr>
        <w:t>minutos sugeridos</w:t>
      </w:r>
      <w:r>
        <w:rPr>
          <w:b w:val="0"/>
          <w:i w:val="0"/>
        </w:rPr>
        <w:t xml:space="preserve"> según la edad y el juego de cada día;</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calendario-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calendario-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primero el </w:t>
      </w:r>
      <w:r>
        <w:rPr>
          <w:b/>
          <w:i w:val="0"/>
        </w:rPr>
        <w:t>núcleo del mes</w:t>
      </w:r>
      <w:r>
        <w:rPr>
          <w:b w:val="0"/>
          <w:i w:val="0"/>
        </w:rPr>
        <w:t>, el mismo que trabaja la escuela, con su voz —un toque la dice en inglés y dos toques, lo que quiere decir, en la lengua de la app— y el objeto de cada una que lo lleva; debajo, plegadas, las del día, que al abrirlas se oyen igual;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o los cuentos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hoxe-familias-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hoxe-familias-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casa-ponte-ao-di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casa-ponte-ao-di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9" name="Picture 29"/>
                  <wp:cNvGraphicFramePr>
                    <a:graphicFrameLocks noChangeAspect="1"/>
                  </wp:cNvGraphicFramePr>
                  <a:graphic>
                    <a:graphicData uri="http://schemas.openxmlformats.org/drawingml/2006/picture">
                      <pic:pic>
                        <pic:nvPicPr>
                          <pic:cNvPr id="0" name="explorar-familias-gl.png"/>
                          <pic:cNvPicPr/>
                        </pic:nvPicPr>
                        <pic:blipFill>
                          <a:blip r:embed="rId37"/>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0" name="Picture 30"/>
                  <wp:cNvGraphicFramePr>
                    <a:graphicFrameLocks noChangeAspect="1"/>
                  </wp:cNvGraphicFramePr>
                  <a:graphic>
                    <a:graphicData uri="http://schemas.openxmlformats.org/drawingml/2006/picture">
                      <pic:pic>
                        <pic:nvPicPr>
                          <pic:cNvPr id="0" name="explorar-familias-es.png"/>
                          <pic:cNvPicPr/>
                        </pic:nvPicPr>
                        <pic:blipFill>
                          <a:blip r:embed="rId38"/>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1" name="Picture 31"/>
                  <wp:cNvGraphicFramePr>
                    <a:graphicFrameLocks noChangeAspect="1"/>
                  </wp:cNvGraphicFramePr>
                  <a:graphic>
                    <a:graphicData uri="http://schemas.openxmlformats.org/drawingml/2006/picture">
                      <pic:pic>
                        <pic:nvPicPr>
                          <pic:cNvPr id="0" name="academy-bloques-gl.png"/>
                          <pic:cNvPicPr/>
                        </pic:nvPicPr>
                        <pic:blipFill>
                          <a:blip r:embed="rId39"/>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2" name="Picture 32"/>
                  <wp:cNvGraphicFramePr>
                    <a:graphicFrameLocks noChangeAspect="1"/>
                  </wp:cNvGraphicFramePr>
                  <a:graphic>
                    <a:graphicData uri="http://schemas.openxmlformats.org/drawingml/2006/picture">
                      <pic:pic>
                        <pic:nvPicPr>
                          <pic:cNvPr id="0" name="academy-bloques-es.png"/>
                          <pic:cNvPicPr/>
                        </pic:nvPicPr>
                        <pic:blipFill>
                          <a:blip r:embed="rId40"/>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academy-lector-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academy-lector-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guia-ingles-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guia-ingles-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hoxe-na-aul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hoxe-na-aul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9" name="Picture 39"/>
                  <wp:cNvGraphicFramePr>
                    <a:graphicFrameLocks noChangeAspect="1"/>
                  </wp:cNvGraphicFramePr>
                  <a:graphic>
                    <a:graphicData uri="http://schemas.openxmlformats.org/drawingml/2006/picture">
                      <pic:pic>
                        <pic:nvPicPr>
                          <pic:cNvPr id="0" name="steam-hub-gl.png"/>
                          <pic:cNvPicPr/>
                        </pic:nvPicPr>
                        <pic:blipFill>
                          <a:blip r:embed="rId47"/>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0" name="Picture 40"/>
                  <wp:cNvGraphicFramePr>
                    <a:graphicFrameLocks noChangeAspect="1"/>
                  </wp:cNvGraphicFramePr>
                  <a:graphic>
                    <a:graphicData uri="http://schemas.openxmlformats.org/drawingml/2006/picture">
                      <pic:pic>
                        <pic:nvPicPr>
                          <pic:cNvPr id="0" name="steam-hub-es.png"/>
                          <pic:cNvPicPr/>
                        </pic:nvPicPr>
                        <pic:blipFill>
                          <a:blip r:embed="rId48"/>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sesion-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sesion-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3" name="Picture 43"/>
                  <wp:cNvGraphicFramePr>
                    <a:graphicFrameLocks noChangeAspect="1"/>
                  </wp:cNvGraphicFramePr>
                  <a:graphic>
                    <a:graphicData uri="http://schemas.openxmlformats.org/drawingml/2006/picture">
                      <pic:pic>
                        <pic:nvPicPr>
                          <pic:cNvPr id="0" name="steam-sesion-casa-gl.png"/>
                          <pic:cNvPicPr/>
                        </pic:nvPicPr>
                        <pic:blipFill>
                          <a:blip r:embed="rId51"/>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4" name="Picture 44"/>
                  <wp:cNvGraphicFramePr>
                    <a:graphicFrameLocks noChangeAspect="1"/>
                  </wp:cNvGraphicFramePr>
                  <a:graphic>
                    <a:graphicData uri="http://schemas.openxmlformats.org/drawingml/2006/picture">
                      <pic:pic>
                        <pic:nvPicPr>
                          <pic:cNvPr id="0" name="steam-sesion-casa-es.png"/>
                          <pic:cNvPicPr/>
                        </pic:nvPicPr>
                        <pic:blipFill>
                          <a:blip r:embed="rId52"/>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5" name="Picture 45"/>
                  <wp:cNvGraphicFramePr>
                    <a:graphicFrameLocks noChangeAspect="1"/>
                  </wp:cNvGraphicFramePr>
                  <a:graphic>
                    <a:graphicData uri="http://schemas.openxmlformats.org/drawingml/2006/picture">
                      <pic:pic>
                        <pic:nvPicPr>
                          <pic:cNvPr id="0" name="premios-gl.png"/>
                          <pic:cNvPicPr/>
                        </pic:nvPicPr>
                        <pic:blipFill>
                          <a:blip r:embed="rId53"/>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6" name="Picture 46"/>
                  <wp:cNvGraphicFramePr>
                    <a:graphicFrameLocks noChangeAspect="1"/>
                  </wp:cNvGraphicFramePr>
                  <a:graphic>
                    <a:graphicData uri="http://schemas.openxmlformats.org/drawingml/2006/picture">
                      <pic:pic>
                        <pic:nvPicPr>
                          <pic:cNvPr id="0" name="premios-es.png"/>
                          <pic:cNvPicPr/>
                        </pic:nvPicPr>
                        <pic:blipFill>
                          <a:blip r:embed="rId54"/>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