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Las lenguas y la voz</w:t>
      </w:r>
    </w:p>
    <w:p>
      <w:pPr>
        <w:spacing w:after="20"/>
        <w:ind w:left="340"/>
      </w:pPr>
      <w:r>
        <w:rPr>
          <w:b/>
          <w:color w:val="1B4965"/>
        </w:rPr>
        <w:t xml:space="preserve">8        </w:t>
      </w:r>
      <w:r>
        <w:t>Los premios de Lúa</w:t>
      </w:r>
    </w:p>
    <w:p>
      <w:pPr>
        <w:spacing w:after="20"/>
        <w:ind w:left="340"/>
      </w:pPr>
      <w:r>
        <w:rPr>
          <w:b/>
          <w:color w:val="1B4965"/>
        </w:rPr>
        <w:t xml:space="preserve">9        </w:t>
      </w:r>
      <w:r>
        <w:t>Sin conexión, sin cuentas y sin datos</w:t>
      </w:r>
    </w:p>
    <w:p>
      <w:pPr>
        <w:spacing w:after="20"/>
        <w:ind w:left="340"/>
      </w:pPr>
      <w:r>
        <w:rPr>
          <w:b/>
          <w:color w:val="1B4965"/>
        </w:rPr>
        <w:t xml:space="preserve">10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cinco cursos de 0 a 6 años, mes a mes,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Desde el Modo Aula, el calendario abre directamente en el curso del grupo que se está mirando.</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spacing w:after="40"/>
      </w:pPr>
      <w:r>
        <w:rPr>
          <w:b w:val="0"/>
          <w:i w:val="0"/>
        </w:rPr>
        <w:t>Cómo se aprende a hablar</w:t>
      </w:r>
    </w:p>
    <w:p>
      <w:pPr>
        <w:pStyle w:val="ListNumber"/>
        <w:spacing w:after="40"/>
      </w:pPr>
      <w:r>
        <w:rPr>
          <w:b w:val="0"/>
          <w:i w:val="0"/>
        </w:rPr>
        <w:t>El baño de lenguaje en las rutinas</w:t>
      </w:r>
    </w:p>
    <w:p>
      <w:pPr>
        <w:pStyle w:val="ListNumber"/>
        <w:spacing w:after="40"/>
      </w:pPr>
      <w:r>
        <w:rPr>
          <w:b w:val="0"/>
          <w:i w:val="0"/>
        </w:rPr>
        <w:t>Turnos de conversación y atención conjunta</w:t>
      </w:r>
    </w:p>
    <w:p>
      <w:pPr>
        <w:pStyle w:val="ListNumber"/>
        <w:spacing w:after="40"/>
      </w:pPr>
      <w:r>
        <w:rPr>
          <w:b w:val="0"/>
          <w:i w:val="0"/>
        </w:rPr>
        <w:t>Juego corporal y espacios sin pantallas</w:t>
      </w:r>
    </w:p>
    <w:p>
      <w:pPr>
        <w:pStyle w:val="ListNumbe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w:t>
      </w:r>
      <w:r>
        <w:rPr>
          <w:b/>
          <w:i w:val="0"/>
        </w:rPr>
        <w:t>Inmersión en inglés</w:t>
      </w:r>
      <w:r>
        <w:rPr>
          <w:b w:val="0"/>
          <w:i w:val="0"/>
        </w:rPr>
        <w:t xml:space="preserve"> trabaja esas mismas palabras, para que la persona adulta llegue a la asamblea con ellas aprendidas:</w:t>
      </w:r>
    </w:p>
    <w:p>
      <w:pPr>
        <w:pStyle w:val="ListBullet"/>
        <w:spacing w:after="40"/>
      </w:pPr>
      <w:r>
        <w:rPr>
          <w:b/>
          <w:i w:val="0"/>
        </w:rPr>
        <w:t>Las palabras del trayecto</w:t>
      </w:r>
      <w:r>
        <w:rPr>
          <w:b w:val="0"/>
          <w:i w:val="0"/>
        </w:rPr>
        <w:t>: las 4.000 por curso, mes, semana y día, con su sonido y el gesto, y un buscador en las tres lenguas;</w:t>
      </w:r>
    </w:p>
    <w:p>
      <w:pPr>
        <w:pStyle w:val="ListBullet"/>
        <w:spacing w:after="40"/>
      </w:pPr>
      <w:r>
        <w:rPr>
          <w:b/>
          <w:i w:val="0"/>
        </w:rPr>
        <w:t>Repaso espaciado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Escucha</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Fonemas</w:t>
      </w:r>
      <w:r>
        <w:rPr>
          <w:b w:val="0"/>
          <w:i w:val="0"/>
        </w:rPr>
        <w:t>: los 44 del inglés, 24 consonantes y 20 vocales, cada uno con su palabra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8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9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10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