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Los premios de Lúa</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cinco cursos de 0 a 6 años, mes a mes,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Desde el Modo Aula, el calendario abre directamente en el curso del grupo que se está mirando.</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spacing w:after="40"/>
      </w:pPr>
      <w:r>
        <w:rPr>
          <w:b w:val="0"/>
          <w:i w:val="0"/>
        </w:rPr>
        <w:t>Cómo se aprende a hablar</w:t>
      </w:r>
    </w:p>
    <w:p>
      <w:pPr>
        <w:pStyle w:val="ListNumber"/>
        <w:spacing w:after="40"/>
      </w:pPr>
      <w:r>
        <w:rPr>
          <w:b w:val="0"/>
          <w:i w:val="0"/>
        </w:rPr>
        <w:t>El baño de lenguaje en las rutinas</w:t>
      </w:r>
    </w:p>
    <w:p>
      <w:pPr>
        <w:pStyle w:val="ListNumber"/>
        <w:spacing w:after="40"/>
      </w:pPr>
      <w:r>
        <w:rPr>
          <w:b w:val="0"/>
          <w:i w:val="0"/>
        </w:rPr>
        <w:t>Turnos de conversación y atención conjunta</w:t>
      </w:r>
    </w:p>
    <w:p>
      <w:pPr>
        <w:pStyle w:val="ListNumber"/>
        <w:spacing w:after="40"/>
      </w:pPr>
      <w:r>
        <w:rPr>
          <w:b w:val="0"/>
          <w:i w:val="0"/>
        </w:rPr>
        <w:t>Juego corporal y espacios sin pantallas</w:t>
      </w:r>
    </w:p>
    <w:p>
      <w:pPr>
        <w:pStyle w:val="ListNumbe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el aula</w:t>
            </w:r>
          </w:p>
        </w:tc>
        <w:tc>
          <w:tcPr>
            <w:tcW w:type="dxa" w:w="4819"/>
            <w:shd w:val="clear" w:fill="F9FBFC"/>
          </w:tcPr>
          <w:p>
            <w:pPr>
              <w:spacing w:after="40"/>
            </w:pPr>
            <w:r>
              <w:rPr>
                <w:b w:val="0"/>
                <w:i w:val="0"/>
                <w:sz w:val="19"/>
              </w:rPr>
              <w:t xml:space="preserve">Se abre desde el </w:t>
            </w:r>
            <w:r>
              <w:rPr>
                <w:b/>
                <w:i w:val="0"/>
                <w:sz w:val="19"/>
              </w:rPr>
              <w:t>Portal Docentes</w:t>
            </w:r>
            <w:r>
              <w:rPr>
                <w:b w:val="0"/>
                <w:i w:val="0"/>
                <w:sz w:val="19"/>
              </w:rPr>
              <w:t>, ya filtrada por el curso que la docente tiene elegido en «Hoxe na aula». Trae el agrupamiento, los papeles cuando la edad lo permite y el anclaje curricular en el Decreto 150/2022.</w:t>
            </w:r>
          </w:p>
        </w:tc>
      </w:tr>
      <w:t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spacing w:after="40"/>
      </w:pPr>
      <w:r>
        <w:rPr>
          <w:b/>
          <w:i w:val="0"/>
        </w:rPr>
        <w:t>Antes de empezar: seguridad.</w:t>
      </w:r>
      <w:r>
        <w:rPr>
          <w:b w:val="0"/>
          <w:i w:val="0"/>
        </w:rPr>
        <w:t xml:space="preserve"> El aviso propio de la sesión.</w:t>
      </w:r>
    </w:p>
    <w:p>
      <w:pPr>
        <w:pStyle w:val="ListNumber"/>
        <w:spacing w:after="40"/>
      </w:pPr>
      <w:r>
        <w:rPr>
          <w:b/>
          <w:i w:val="0"/>
        </w:rPr>
        <w:t>Cómo os organizáis</w:t>
      </w:r>
      <w:r>
        <w:rPr>
          <w:b w:val="0"/>
          <w:i w:val="0"/>
        </w:rPr>
        <w:t xml:space="preserve"> y </w:t>
      </w:r>
      <w:r>
        <w:rPr>
          <w:b/>
          <w:i w:val="0"/>
        </w:rPr>
        <w:t>qué preparar</w:t>
      </w:r>
      <w:r>
        <w:rPr>
          <w:b w:val="0"/>
          <w:i w:val="0"/>
        </w:rPr>
        <w:t>.</w:t>
      </w:r>
    </w:p>
    <w:p>
      <w:pPr>
        <w:pStyle w:val="ListNumber"/>
        <w:spacing w:after="40"/>
      </w:pPr>
      <w:r>
        <w:rPr>
          <w:b/>
          <w:i w:val="0"/>
        </w:rPr>
        <w:t>Observa:</w:t>
      </w:r>
      <w:r>
        <w:rPr>
          <w:b w:val="0"/>
          <w:i w:val="0"/>
        </w:rPr>
        <w:t xml:space="preserve"> el planteamiento, la pregunta y cinco segundos de silencio, con un botón que los cuenta.</w:t>
      </w:r>
    </w:p>
    <w:p>
      <w:pPr>
        <w:pStyle w:val="ListNumber"/>
        <w:spacing w:after="40"/>
      </w:pPr>
      <w:r>
        <w:rPr>
          <w:b/>
          <w:i w:val="0"/>
        </w:rPr>
        <w:t>Experimenta:</w:t>
      </w:r>
      <w:r>
        <w:rPr>
          <w:b w:val="0"/>
          <w:i w:val="0"/>
        </w:rPr>
        <w:t xml:space="preserve"> qué hacer, y dos pistas que se abren una a una, de menos a más ayuda.</w:t>
      </w:r>
    </w:p>
    <w:p>
      <w:pPr>
        <w:pStyle w:val="ListNumber"/>
        <w:spacing w:after="40"/>
      </w:pPr>
      <w:r>
        <w:rPr>
          <w:b/>
          <w:i w:val="0"/>
        </w:rPr>
        <w:t>Construye:</w:t>
      </w:r>
      <w:r>
        <w:rPr>
          <w:b w:val="0"/>
          <w:i w:val="0"/>
        </w:rPr>
        <w:t xml:space="preserve"> el reto y la pregunta para cerrar.</w:t>
      </w:r>
    </w:p>
    <w:p>
      <w:pPr>
        <w:pStyle w:val="ListNumbe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al portal: en «Hoxe na aula», en el día del Modo Aula, junto al cuento y la dinámica, y en el Calendario Escuela · Hogar, donde el mes avisa de qué día toca y el lado de casa trae la versión de las familias.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4361941"/>
                  <wp:docPr id="21" name="Picture 21"/>
                  <wp:cNvGraphicFramePr>
                    <a:graphicFrameLocks noChangeAspect="1"/>
                  </wp:cNvGraphicFramePr>
                  <a:graphic>
                    <a:graphicData uri="http://schemas.openxmlformats.org/drawingml/2006/picture">
                      <pic:pic>
                        <pic:nvPicPr>
                          <pic:cNvPr id="0" name="steam-hoxe-na-aula-gl.png"/>
                          <pic:cNvPicPr/>
                        </pic:nvPicPr>
                        <pic:blipFill>
                          <a:blip r:embed="rId29"/>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gallego</w:t>
            </w:r>
          </w:p>
        </w:tc>
        <w:tc>
          <w:tcPr>
            <w:tcW w:type="dxa" w:w="4819"/>
          </w:tcPr>
          <w:p>
            <w:pPr>
              <w:jc w:val="center"/>
            </w:pPr>
            <w:r>
              <w:drawing>
                <wp:inline xmlns:a="http://schemas.openxmlformats.org/drawingml/2006/main" xmlns:pic="http://schemas.openxmlformats.org/drawingml/2006/picture">
                  <wp:extent cx="2304000" cy="4361941"/>
                  <wp:docPr id="22" name="Picture 22"/>
                  <wp:cNvGraphicFramePr>
                    <a:graphicFrameLocks noChangeAspect="1"/>
                  </wp:cNvGraphicFramePr>
                  <a:graphic>
                    <a:graphicData uri="http://schemas.openxmlformats.org/drawingml/2006/picture">
                      <pic:pic>
                        <pic:nvPicPr>
                          <pic:cNvPr id="0" name="steam-hoxe-na-aula-es.png"/>
                          <pic:cNvPicPr/>
                        </pic:nvPicPr>
                        <pic:blipFill>
                          <a:blip r:embed="rId30"/>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steam-hub-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steam-hub-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5" name="Picture 25"/>
                  <wp:cNvGraphicFramePr>
                    <a:graphicFrameLocks noChangeAspect="1"/>
                  </wp:cNvGraphicFramePr>
                  <a:graphic>
                    <a:graphicData uri="http://schemas.openxmlformats.org/drawingml/2006/picture">
                      <pic:pic>
                        <pic:nvPicPr>
                          <pic:cNvPr id="0" name="steam-sesion-aula-gl.png"/>
                          <pic:cNvPicPr/>
                        </pic:nvPicPr>
                        <pic:blipFill>
                          <a:blip r:embed="rId3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26" name="Picture 26"/>
                  <wp:cNvGraphicFramePr>
                    <a:graphicFrameLocks noChangeAspect="1"/>
                  </wp:cNvGraphicFramePr>
                  <a:graphic>
                    <a:graphicData uri="http://schemas.openxmlformats.org/drawingml/2006/picture">
                      <pic:pic>
                        <pic:nvPicPr>
                          <pic:cNvPr id="0" name="steam-sesion-aula-es.png"/>
                          <pic:cNvPicPr/>
                        </pic:nvPicPr>
                        <pic:blipFill>
                          <a:blip r:embed="rId3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steam-sesion-cas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steam-sesion-cas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r>
        <w:br w:type="page"/>
      </w:r>
    </w:p>
    <w:p>
      <w:pPr>
        <w:pStyle w:val="Heading1"/>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w:t>
      </w:r>
      <w:r>
        <w:rPr>
          <w:b/>
          <w:i w:val="0"/>
        </w:rPr>
        <w:t>Inmersión en inglés</w:t>
      </w:r>
      <w:r>
        <w:rPr>
          <w:b w:val="0"/>
          <w:i w:val="0"/>
        </w:rPr>
        <w:t xml:space="preserve"> trabaja esas mismas palabras, para que la persona adulta llegue a la asamblea con ellas aprendidas:</w:t>
      </w:r>
    </w:p>
    <w:p>
      <w:pPr>
        <w:pStyle w:val="ListBullet"/>
        <w:spacing w:after="40"/>
      </w:pPr>
      <w:r>
        <w:rPr>
          <w:b/>
          <w:i w:val="0"/>
        </w:rPr>
        <w:t>Las palabras del trayecto</w:t>
      </w:r>
      <w:r>
        <w:rPr>
          <w:b w:val="0"/>
          <w:i w:val="0"/>
        </w:rPr>
        <w:t>: las 4.000 por curso, mes, semana y día, con su sonido y el gesto, y un buscador en las tres lenguas;</w:t>
      </w:r>
    </w:p>
    <w:p>
      <w:pPr>
        <w:pStyle w:val="ListBullet"/>
        <w:spacing w:after="40"/>
      </w:pPr>
      <w:r>
        <w:rPr>
          <w:b/>
          <w:i w:val="0"/>
        </w:rPr>
        <w:t>Repaso espaciado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Escucha</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Fonemas</w:t>
      </w:r>
      <w:r>
        <w:rPr>
          <w:b w:val="0"/>
          <w:i w:val="0"/>
        </w:rPr>
        <w:t>: los 44 del inglés, 24 consonantes y 20 vocales, cada uno con su palabra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29" name="Picture 29"/>
                  <wp:cNvGraphicFramePr>
                    <a:graphicFrameLocks noChangeAspect="1"/>
                  </wp:cNvGraphicFramePr>
                  <a:graphic>
                    <a:graphicData uri="http://schemas.openxmlformats.org/drawingml/2006/picture">
                      <pic:pic>
                        <pic:nvPicPr>
                          <pic:cNvPr id="0" name="premios-gl.png"/>
                          <pic:cNvPicPr/>
                        </pic:nvPicPr>
                        <pic:blipFill>
                          <a:blip r:embed="rId37"/>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30" name="Picture 30"/>
                  <wp:cNvGraphicFramePr>
                    <a:graphicFrameLocks noChangeAspect="1"/>
                  </wp:cNvGraphicFramePr>
                  <a:graphic>
                    <a:graphicData uri="http://schemas.openxmlformats.org/drawingml/2006/picture">
                      <pic:pic>
                        <pic:nvPicPr>
                          <pic:cNvPr id="0" name="premios-es.png"/>
                          <pic:cNvPicPr/>
                        </pic:nvPicPr>
                        <pic:blipFill>
                          <a:blip r:embed="rId38"/>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