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Educación infantil: primeiro ciclo (0-3) e segundo ciclo (3-6)</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20"/>
        <w:ind w:left="340"/>
      </w:pPr>
      <w:r>
        <w:rPr>
          <w:b/>
          <w:color w:val="1B4965"/>
        </w:rPr>
        <w:t xml:space="preserve">4        </w:t>
      </w:r>
      <w:r>
        <w:t>Cómo funciona una asamblea</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20"/>
        <w:ind w:left="340"/>
      </w:pPr>
      <w:r>
        <w:rPr>
          <w:b/>
          <w:color w:val="1B4965"/>
        </w:rPr>
        <w:t xml:space="preserve">CU-12    </w:t>
      </w:r>
      <w:r>
        <w:t>Conducir la asamblea matinal de segundo ciclo</w:t>
      </w:r>
    </w:p>
    <w:p>
      <w:pPr>
        <w:spacing w:after="40"/>
      </w:pPr>
      <w:r>
        <w:rPr>
          <w:b/>
          <w:i w:val="0"/>
          <w:color w:val="1B4965"/>
          <w:sz w:val="18"/>
        </w:rPr>
        <w:t>CASOS DE USO · FAMILIAS</w:t>
      </w:r>
    </w:p>
    <w:p>
      <w:pPr>
        <w:spacing w:after="20"/>
        <w:ind w:left="340"/>
      </w:pPr>
      <w:r>
        <w:rPr>
          <w:b/>
          <w:color w:val="1B4965"/>
        </w:rPr>
        <w:t xml:space="preserve">CU-13    </w:t>
      </w:r>
      <w:r>
        <w:t>Leer una cápsula</w:t>
      </w:r>
    </w:p>
    <w:p>
      <w:pPr>
        <w:spacing w:after="20"/>
        <w:ind w:left="340"/>
      </w:pPr>
      <w:r>
        <w:rPr>
          <w:b/>
          <w:color w:val="1B4965"/>
        </w:rPr>
        <w:t xml:space="preserve">CU-14    </w:t>
      </w:r>
      <w:r>
        <w:t>Responder la reflexión</w:t>
      </w:r>
    </w:p>
    <w:p>
      <w:pPr>
        <w:spacing w:after="20"/>
        <w:ind w:left="340"/>
      </w:pPr>
      <w:r>
        <w:rPr>
          <w:b/>
          <w:color w:val="1B4965"/>
        </w:rPr>
        <w:t xml:space="preserve">CU-15    </w:t>
      </w:r>
      <w:r>
        <w:t>Usar la app sin la criatura delante</w:t>
      </w:r>
    </w:p>
    <w:p>
      <w:pPr>
        <w:spacing w:after="20"/>
        <w:ind w:left="340"/>
      </w:pPr>
      <w:r>
        <w:rPr>
          <w:b/>
          <w:color w:val="1B4965"/>
        </w:rPr>
        <w:t xml:space="preserve">CU-16    </w:t>
      </w:r>
      <w:r>
        <w:t>Preparar el inglés en casa</w:t>
      </w:r>
    </w:p>
    <w:p>
      <w:pPr>
        <w:spacing w:after="20"/>
        <w:ind w:left="340"/>
      </w:pPr>
      <w:r>
        <w:rPr>
          <w:b/>
          <w:color w:val="1B4965"/>
        </w:rPr>
        <w:t xml:space="preserve">CU-17    </w:t>
      </w:r>
      <w:r>
        <w:t>Hacer la micro-rutina del mes, en segundo ciclo</w:t>
      </w:r>
    </w:p>
    <w:p>
      <w:pPr>
        <w:spacing w:after="40"/>
      </w:pPr>
      <w:r>
        <w:rPr>
          <w:b/>
          <w:i w:val="0"/>
          <w:color w:val="1B4965"/>
          <w:sz w:val="18"/>
        </w:rPr>
        <w:t>CIERRE</w:t>
      </w:r>
    </w:p>
    <w:p>
      <w:pPr>
        <w:spacing w:after="20"/>
        <w:ind w:left="340"/>
      </w:pPr>
      <w:r>
        <w:rPr>
          <w:b/>
          <w:color w:val="1B4965"/>
        </w:rPr>
        <w:t xml:space="preserve">5        </w:t>
      </w:r>
      <w:r>
        <w:t>Límites de esta versión</w:t>
      </w:r>
    </w:p>
    <w:p>
      <w:pPr>
        <w:spacing w:after="20"/>
        <w:ind w:left="340"/>
      </w:pPr>
      <w:r>
        <w:rPr>
          <w:b/>
          <w:color w:val="1B4965"/>
        </w:rPr>
        <w:t xml:space="preserve">6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las dos etapas de educación infantil —</w:t>
      </w:r>
      <w:r>
        <w:rPr>
          <w:b/>
          <w:i w:val="0"/>
        </w:rPr>
        <w:t>primer ciclo (0-3 años)</w:t>
      </w:r>
      <w:r>
        <w:rPr>
          <w:b w:val="0"/>
          <w:i w:val="0"/>
        </w:rPr>
        <w:t xml:space="preserve"> y </w:t>
      </w:r>
      <w:r>
        <w:rPr>
          <w:b/>
          <w:i w:val="0"/>
        </w:rPr>
        <w:t>segundo ciclo (3-6 años)</w:t>
      </w:r>
      <w:r>
        <w:rPr>
          <w:b w:val="0"/>
          <w:i w:val="0"/>
        </w:rPr>
        <w:t>—, en gallego y castellano, que funciona entero sin conexión.</w:t>
      </w:r>
    </w:p>
    <w:p>
      <w:pPr>
        <w:spacing w:after="120"/>
      </w:pPr>
      <w:r>
        <w:rPr>
          <w:b w:val="0"/>
          <w:i w:val="0"/>
        </w:rPr>
        <w:t xml:space="preserve">Las dos etapas no se usan igual, y la app no las mezcla. En primer ciclo la docente conduce una </w:t>
      </w:r>
      <w:r>
        <w:rPr>
          <w:b/>
          <w:i w:val="0"/>
        </w:rPr>
        <w:t>asamblea de seis fases</w:t>
      </w:r>
      <w:r>
        <w:rPr>
          <w:b w:val="0"/>
          <w:i w:val="0"/>
        </w:rPr>
        <w:t xml:space="preserve"> alrededor de la unidad del mes. En segundo ciclo conduce una </w:t>
      </w:r>
      <w:r>
        <w:rPr>
          <w:b/>
          <w:i w:val="0"/>
        </w:rPr>
        <w:t>asamblea matinal de cuatro fases</w:t>
      </w:r>
      <w:r>
        <w:rPr>
          <w:b w:val="0"/>
          <w:i w:val="0"/>
        </w:rPr>
        <w:t>, más corta y con el inglés dentro, y elige el nivel —4.º, 5.º o 6.º de Infantil— en la propia pantalla. Un conmutador en la lista del aula decide con cuál de las dos se trabaja.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2.º Ciclo (3-6)  →  Nivel: 4.º · 5.º · 6.º  →  Backstage de la asamblea (4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Academy · Familias  →  Segundo ciclo · micro-rutina del mes  →  Cómo responder sin corregir</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11184466"/>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6710680"/>
                  <wp:docPr id="9" name="Picture 9"/>
                  <wp:cNvGraphicFramePr>
                    <a:graphicFrameLocks noChangeAspect="1"/>
                  </wp:cNvGraphicFramePr>
                  <a:graphic>
                    <a:graphicData uri="http://schemas.openxmlformats.org/drawingml/2006/picture">
                      <pic:pic>
                        <pic:nvPicPr>
                          <pic:cNvPr id="0" name="aula-backstage-gl.png"/>
                          <pic:cNvPicPr/>
                        </pic:nvPicPr>
                        <pic:blipFill>
                          <a:blip r:embed="rId17"/>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GL</w:t>
            </w:r>
          </w:p>
        </w:tc>
        <w:tc>
          <w:tcPr>
            <w:tcW w:type="dxa" w:w="4819"/>
          </w:tcPr>
          <w:p>
            <w:pPr>
              <w:jc w:val="center"/>
            </w:pPr>
            <w:r>
              <w:drawing>
                <wp:inline xmlns:a="http://schemas.openxmlformats.org/drawingml/2006/main" xmlns:pic="http://schemas.openxmlformats.org/drawingml/2006/picture">
                  <wp:extent cx="2304000" cy="6710680"/>
                  <wp:docPr id="10" name="Picture 10"/>
                  <wp:cNvGraphicFramePr>
                    <a:graphicFrameLocks noChangeAspect="1"/>
                  </wp:cNvGraphicFramePr>
                  <a:graphic>
                    <a:graphicData uri="http://schemas.openxmlformats.org/drawingml/2006/picture">
                      <pic:pic>
                        <pic:nvPicPr>
                          <pic:cNvPr id="0" name="aula-backstage-es.png"/>
                          <pic:cNvPicPr/>
                        </pic:nvPicPr>
                        <pic:blipFill>
                          <a:blip r:embed="rId18"/>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11" name="Picture 11"/>
                  <wp:cNvGraphicFramePr>
                    <a:graphicFrameLocks noChangeAspect="1"/>
                  </wp:cNvGraphicFramePr>
                  <a:graphic>
                    <a:graphicData uri="http://schemas.openxmlformats.org/drawingml/2006/picture">
                      <pic:pic>
                        <pic:nvPicPr>
                          <pic:cNvPr id="0" name="academy-micro-rutina-gl.png"/>
                          <pic:cNvPicPr/>
                        </pic:nvPicPr>
                        <pic:blipFill>
                          <a:blip r:embed="rId19"/>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GL</w:t>
            </w:r>
          </w:p>
        </w:tc>
        <w:tc>
          <w:tcPr>
            <w:tcW w:type="dxa" w:w="4819"/>
          </w:tcPr>
          <w:p>
            <w:pPr>
              <w:jc w:val="center"/>
            </w:pPr>
            <w:r>
              <w:drawing>
                <wp:inline xmlns:a="http://schemas.openxmlformats.org/drawingml/2006/main" xmlns:pic="http://schemas.openxmlformats.org/drawingml/2006/picture">
                  <wp:extent cx="2304000" cy="11184466"/>
                  <wp:docPr id="12" name="Picture 12"/>
                  <wp:cNvGraphicFramePr>
                    <a:graphicFrameLocks noChangeAspect="1"/>
                  </wp:cNvGraphicFramePr>
                  <a:graphic>
                    <a:graphicData uri="http://schemas.openxmlformats.org/drawingml/2006/picture">
                      <pic:pic>
                        <pic:nvPicPr>
                          <pic:cNvPr id="0" name="academy-micro-rutina-es.png"/>
                          <pic:cNvPicPr/>
                        </pic:nvPicPr>
                        <pic:blipFill>
                          <a:blip r:embed="rId20"/>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3" name="Picture 13"/>
                  <wp:cNvGraphicFramePr>
                    <a:graphicFrameLocks noChangeAspect="1"/>
                  </wp:cNvGraphicFramePr>
                  <a:graphic>
                    <a:graphicData uri="http://schemas.openxmlformats.org/drawingml/2006/picture">
                      <pic:pic>
                        <pic:nvPicPr>
                          <pic:cNvPr id="0" name="guia-ingles-gl.png"/>
                          <pic:cNvPicPr/>
                        </pic:nvPicPr>
                        <pic:blipFill>
                          <a:blip r:embed="rId21"/>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4" name="Picture 14"/>
                  <wp:cNvGraphicFramePr>
                    <a:graphicFrameLocks noChangeAspect="1"/>
                  </wp:cNvGraphicFramePr>
                  <a:graphic>
                    <a:graphicData uri="http://schemas.openxmlformats.org/drawingml/2006/picture">
                      <pic:pic>
                        <pic:nvPicPr>
                          <pic:cNvPr id="0" name="guia-ingles-es.png"/>
                          <pic:cNvPicPr/>
                        </pic:nvPicPr>
                        <pic:blipFill>
                          <a:blip r:embed="rId22"/>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5" name="Picture 15"/>
                  <wp:cNvGraphicFramePr>
                    <a:graphicFrameLocks noChangeAspect="1"/>
                  </wp:cNvGraphicFramePr>
                  <a:graphic>
                    <a:graphicData uri="http://schemas.openxmlformats.org/drawingml/2006/picture">
                      <pic:pic>
                        <pic:nvPicPr>
                          <pic:cNvPr id="0" name="aula-formacion-gl.png"/>
                          <pic:cNvPicPr/>
                        </pic:nvPicPr>
                        <pic:blipFill>
                          <a:blip r:embed="rId23"/>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6" name="Picture 16"/>
                  <wp:cNvGraphicFramePr>
                    <a:graphicFrameLocks noChangeAspect="1"/>
                  </wp:cNvGraphicFramePr>
                  <a:graphic>
                    <a:graphicData uri="http://schemas.openxmlformats.org/drawingml/2006/picture">
                      <pic:pic>
                        <pic:nvPicPr>
                          <pic:cNvPr id="0" name="aula-formacion-es.png"/>
                          <pic:cNvPicPr/>
                        </pic:nvPicPr>
                        <pic:blipFill>
                          <a:blip r:embed="rId24"/>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7" name="Picture 17"/>
                  <wp:cNvGraphicFramePr>
                    <a:graphicFrameLocks noChangeAspect="1"/>
                  </wp:cNvGraphicFramePr>
                  <a:graphic>
                    <a:graphicData uri="http://schemas.openxmlformats.org/drawingml/2006/picture">
                      <pic:pic>
                        <pic:nvPicPr>
                          <pic:cNvPr id="0" name="academy-bloques-gl.png"/>
                          <pic:cNvPicPr/>
                        </pic:nvPicPr>
                        <pic:blipFill>
                          <a:blip r:embed="rId25"/>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8" name="Picture 18"/>
                  <wp:cNvGraphicFramePr>
                    <a:graphicFrameLocks noChangeAspect="1"/>
                  </wp:cNvGraphicFramePr>
                  <a:graphic>
                    <a:graphicData uri="http://schemas.openxmlformats.org/drawingml/2006/picture">
                      <pic:pic>
                        <pic:nvPicPr>
                          <pic:cNvPr id="0" name="academy-bloques-es.png"/>
                          <pic:cNvPicPr/>
                        </pic:nvPicPr>
                        <pic:blipFill>
                          <a:blip r:embed="rId26"/>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academy-lector-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academy-lector-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23" name="Picture 23"/>
                  <wp:cNvGraphicFramePr>
                    <a:graphicFrameLocks noChangeAspect="1"/>
                  </wp:cNvGraphicFramePr>
                  <a:graphic>
                    <a:graphicData uri="http://schemas.openxmlformats.org/drawingml/2006/picture">
                      <pic:pic>
                        <pic:nvPicPr>
                          <pic:cNvPr id="0" name="creditos-gl.png"/>
                          <pic:cNvPicPr/>
                        </pic:nvPicPr>
                        <pic:blipFill>
                          <a:blip r:embed="rId31"/>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4" name="Picture 24"/>
                  <wp:cNvGraphicFramePr>
                    <a:graphicFrameLocks noChangeAspect="1"/>
                  </wp:cNvGraphicFramePr>
                  <a:graphic>
                    <a:graphicData uri="http://schemas.openxmlformats.org/drawingml/2006/picture">
                      <pic:pic>
                        <pic:nvPicPr>
                          <pic:cNvPr id="0" name="creditos-es.png"/>
                          <pic:cNvPicPr/>
                        </pic:nvPicPr>
                        <pic:blipFill>
                          <a:blip r:embed="rId32"/>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LA APLICACIÓN</w:t>
      </w:r>
    </w:p>
    <w:p>
      <w:pPr>
        <w:pStyle w:val="Heading1"/>
      </w:pPr>
      <w:r>
        <w:t>4 · Cómo funciona una asamblea</w:t>
      </w:r>
    </w:p>
    <w:p>
      <w:pPr>
        <w:spacing w:after="120"/>
      </w:pPr>
      <w:r>
        <w:rPr>
          <w:b w:val="0"/>
          <w:i w:val="0"/>
        </w:rPr>
        <w:t xml:space="preserve">Esta es la parte que conviene leer una vez antes de usar la app con un grupo. No explica botones —eso está en los casos de uso— sino </w:t>
      </w:r>
      <w:r>
        <w:rPr>
          <w:b/>
          <w:i w:val="0"/>
        </w:rPr>
        <w:t>qué pasa en esos ocho minutos y por qué van en ese orden</w:t>
      </w:r>
      <w:r>
        <w:rPr>
          <w:b w:val="0"/>
          <w:i w:val="0"/>
        </w:rPr>
        <w:t>.</w:t>
      </w:r>
    </w:p>
    <w:p>
      <w:pPr>
        <w:spacing w:after="120"/>
      </w:pPr>
      <w:r>
        <w:rPr>
          <w:b w:val="0"/>
          <w:i w:val="0"/>
        </w:rPr>
        <w:t xml:space="preserve">La app </w:t>
      </w:r>
      <w:r>
        <w:rPr>
          <w:b/>
          <w:i w:val="0"/>
        </w:rPr>
        <w:t>no conduce la asamblea: la conduces tú</w:t>
      </w:r>
      <w:r>
        <w:rPr>
          <w:b w:val="0"/>
          <w:i w:val="0"/>
        </w:rPr>
        <w:t>. Cada fase se abre con una sola frase en letra grande, que es lo que tienes que hacer, y con los minutos que se le suponen. El móvil se queda fuera de la vista de las criaturas; la pantalla es tu guion, no su juguete.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E8F4F8"/>
          </w:tcPr>
          <w:p>
            <w:pPr>
              <w:spacing w:after="40"/>
            </w:pPr>
            <w:r>
              <w:rPr>
                <w:b/>
                <w:i w:val="0"/>
                <w:color w:val="1B4965"/>
                <w:sz w:val="19"/>
              </w:rPr>
              <w:t>Fase</w:t>
            </w:r>
          </w:p>
        </w:tc>
        <w:tc>
          <w:tcPr>
            <w:tcW w:type="dxa" w:w="2409"/>
            <w:shd w:val="clear" w:fill="E8F4F8"/>
          </w:tcPr>
          <w:p>
            <w:pPr>
              <w:spacing w:after="40"/>
            </w:pPr>
            <w:r>
              <w:rPr>
                <w:b/>
                <w:i w:val="0"/>
                <w:color w:val="1B4965"/>
                <w:sz w:val="19"/>
              </w:rPr>
              <w:t>Min.</w:t>
            </w:r>
          </w:p>
        </w:tc>
        <w:tc>
          <w:tcPr>
            <w:tcW w:type="dxa" w:w="2409"/>
            <w:shd w:val="clear" w:fill="E8F4F8"/>
          </w:tcPr>
          <w:p>
            <w:pPr>
              <w:spacing w:after="40"/>
            </w:pPr>
            <w:r>
              <w:rPr>
                <w:b/>
                <w:i w:val="0"/>
                <w:color w:val="1B4965"/>
                <w:sz w:val="19"/>
              </w:rPr>
              <w:t>Lo que haces</w:t>
            </w:r>
          </w:p>
        </w:tc>
        <w:tc>
          <w:tcPr>
            <w:tcW w:type="dxa" w:w="2409"/>
            <w:shd w:val="clear" w:fill="E8F4F8"/>
          </w:tcPr>
          <w:p>
            <w:pPr>
              <w:spacing w:after="40"/>
            </w:pPr>
            <w:r>
              <w:rPr>
                <w:b/>
                <w:i w:val="0"/>
                <w:color w:val="1B4965"/>
                <w:sz w:val="19"/>
              </w:rPr>
              <w:t>Para qué</w:t>
            </w:r>
          </w:p>
        </w:tc>
      </w:tr>
      <w:tr>
        <w:tc>
          <w:tcPr>
            <w:tcW w:type="dxa" w:w="2409"/>
          </w:tcPr>
          <w:p>
            <w:pPr>
              <w:spacing w:after="40"/>
            </w:pPr>
            <w:r>
              <w:rPr>
                <w:b/>
                <w:i w:val="0"/>
                <w:sz w:val="19"/>
              </w:rPr>
              <w:t>1 · Canción a pulso</w:t>
            </w:r>
          </w:p>
        </w:tc>
        <w:tc>
          <w:tcPr>
            <w:tcW w:type="dxa" w:w="2409"/>
          </w:tcPr>
          <w:p>
            <w:pPr>
              <w:spacing w:after="40"/>
            </w:pPr>
            <w:r>
              <w:rPr>
                <w:b w:val="0"/>
                <w:i w:val="0"/>
                <w:sz w:val="19"/>
              </w:rPr>
              <w:t>1</w:t>
            </w:r>
          </w:p>
        </w:tc>
        <w:tc>
          <w:tcPr>
            <w:tcW w:type="dxa" w:w="2409"/>
          </w:tcPr>
          <w:p>
            <w:pPr>
              <w:spacing w:after="40"/>
            </w:pPr>
            <w:r>
              <w:rPr>
                <w:b w:val="0"/>
                <w:i w:val="0"/>
                <w:sz w:val="19"/>
              </w:rPr>
              <w:t>«Círculo en la alfombra. Marca el pulso en las piernas y canta muy despacio.»</w:t>
            </w:r>
          </w:p>
        </w:tc>
        <w:tc>
          <w:tcPr>
            <w:tcW w:type="dxa" w:w="2409"/>
          </w:tcPr>
          <w:p>
            <w:pPr>
              <w:spacing w:after="40"/>
            </w:pPr>
            <w:r>
              <w:rPr>
                <w:b w:val="0"/>
                <w:i w:val="0"/>
                <w:sz w:val="19"/>
              </w:rPr>
              <w:t>Reúne al grupo y asienta el ritmo. El pulso regular es lo que sostiene después la palabra: primero el cuerpo, luego la boca</w:t>
            </w:r>
          </w:p>
        </w:tc>
      </w:tr>
      <w:tr>
        <w:tc>
          <w:tcPr>
            <w:tcW w:type="dxa" w:w="2409"/>
            <w:shd w:val="clear" w:fill="F9FBFC"/>
          </w:tcPr>
          <w:p>
            <w:pPr>
              <w:spacing w:after="40"/>
            </w:pPr>
            <w:r>
              <w:rPr>
                <w:b/>
                <w:i w:val="0"/>
                <w:sz w:val="19"/>
              </w:rPr>
              <w:t>2 · Cuento guiado</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la página en alto, haz la pregunta y espera cinco segundos.»</w:t>
            </w:r>
          </w:p>
        </w:tc>
        <w:tc>
          <w:tcPr>
            <w:tcW w:type="dxa" w:w="2409"/>
            <w:shd w:val="clear" w:fill="F9FBFC"/>
          </w:tcPr>
          <w:p>
            <w:pPr>
              <w:spacing w:after="40"/>
            </w:pPr>
            <w:r>
              <w:rPr>
                <w:b w:val="0"/>
                <w:i w:val="0"/>
                <w:sz w:val="19"/>
              </w:rPr>
              <w:t>Lengua en contexto, con una lámina que da de qué hablar. Los cinco segundos son la fase: a esta edad la respuesta tarda</w:t>
            </w:r>
          </w:p>
        </w:tc>
      </w:tr>
      <w:tr>
        <w:tc>
          <w:tcPr>
            <w:tcW w:type="dxa" w:w="2409"/>
          </w:tcPr>
          <w:p>
            <w:pPr>
              <w:spacing w:after="40"/>
            </w:pPr>
            <w:r>
              <w:rPr>
                <w:b/>
                <w:i w:val="0"/>
                <w:sz w:val="19"/>
              </w:rPr>
              <w:t>3 · Preguntas graduadas</w:t>
            </w:r>
          </w:p>
        </w:tc>
        <w:tc>
          <w:tcPr>
            <w:tcW w:type="dxa" w:w="2409"/>
          </w:tcPr>
          <w:p>
            <w:pPr>
              <w:spacing w:after="40"/>
            </w:pPr>
            <w:r>
              <w:rPr>
                <w:b w:val="0"/>
                <w:i w:val="0"/>
                <w:sz w:val="19"/>
              </w:rPr>
              <w:t>1</w:t>
            </w:r>
          </w:p>
        </w:tc>
        <w:tc>
          <w:tcPr>
            <w:tcW w:type="dxa" w:w="2409"/>
          </w:tcPr>
          <w:p>
            <w:pPr>
              <w:spacing w:after="40"/>
            </w:pPr>
            <w:r>
              <w:rPr>
                <w:b w:val="0"/>
                <w:i w:val="0"/>
                <w:sz w:val="19"/>
              </w:rPr>
              <w:t>«Una pregunta cada vez. El gesto vale igual que la palabra.»</w:t>
            </w:r>
          </w:p>
        </w:tc>
        <w:tc>
          <w:tcPr>
            <w:tcW w:type="dxa" w:w="2409"/>
          </w:tcPr>
          <w:p>
            <w:pPr>
              <w:spacing w:after="40"/>
            </w:pPr>
            <w:r>
              <w:rPr>
                <w:b w:val="0"/>
                <w:i w:val="0"/>
                <w:sz w:val="19"/>
              </w:rPr>
              <w:t>Tres niveles —señalar, nombrar, causa-efecto— para que en el mismo círculo participe quien aún no habla y quien ya cuenta cosas</w:t>
            </w:r>
          </w:p>
        </w:tc>
      </w:tr>
      <w:tr>
        <w:tc>
          <w:tcPr>
            <w:tcW w:type="dxa" w:w="2409"/>
            <w:shd w:val="clear" w:fill="F9FBFC"/>
          </w:tcPr>
          <w:p>
            <w:pPr>
              <w:spacing w:after="40"/>
            </w:pPr>
            <w:r>
              <w:rPr>
                <w:b/>
                <w:i w:val="0"/>
                <w:sz w:val="19"/>
              </w:rPr>
              <w:t>4 · Exploración sensorial</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el aviso antes de sacar el material. Ofrece; no pongas nada en la mano de nadie.»</w:t>
            </w:r>
          </w:p>
        </w:tc>
        <w:tc>
          <w:tcPr>
            <w:tcW w:type="dxa" w:w="2409"/>
            <w:shd w:val="clear" w:fill="F9FBFC"/>
          </w:tcPr>
          <w:p>
            <w:pPr>
              <w:spacing w:after="40"/>
            </w:pPr>
            <w:r>
              <w:rPr>
                <w:b w:val="0"/>
                <w:i w:val="0"/>
                <w:sz w:val="19"/>
              </w:rPr>
              <w:t xml:space="preserve">La experiencia directa con el objeto del que se ha hablado. </w:t>
            </w:r>
            <w:r>
              <w:rPr>
                <w:b/>
                <w:i w:val="0"/>
                <w:sz w:val="19"/>
              </w:rPr>
              <w:t>Ofrecer y no imponer</w:t>
            </w:r>
            <w:r>
              <w:rPr>
                <w:b w:val="0"/>
                <w:i w:val="0"/>
                <w:sz w:val="19"/>
              </w:rPr>
              <w:t xml:space="preserve"> es la regla: quien no quiere tocar, mira</w:t>
            </w:r>
          </w:p>
        </w:tc>
      </w:tr>
      <w:tr>
        <w:tc>
          <w:tcPr>
            <w:tcW w:type="dxa" w:w="2409"/>
          </w:tcPr>
          <w:p>
            <w:pPr>
              <w:spacing w:after="40"/>
            </w:pPr>
            <w:r>
              <w:rPr>
                <w:b/>
                <w:i w:val="0"/>
                <w:sz w:val="19"/>
              </w:rPr>
              <w:t>5 · Matemáticas tempranas</w:t>
            </w:r>
          </w:p>
        </w:tc>
        <w:tc>
          <w:tcPr>
            <w:tcW w:type="dxa" w:w="2409"/>
          </w:tcPr>
          <w:p>
            <w:pPr>
              <w:spacing w:after="40"/>
            </w:pPr>
            <w:r>
              <w:rPr>
                <w:b w:val="0"/>
                <w:i w:val="0"/>
                <w:sz w:val="19"/>
              </w:rPr>
              <w:t>1</w:t>
            </w:r>
          </w:p>
        </w:tc>
        <w:tc>
          <w:tcPr>
            <w:tcW w:type="dxa" w:w="2409"/>
          </w:tcPr>
          <w:p>
            <w:pPr>
              <w:spacing w:after="40"/>
            </w:pPr>
            <w:r>
              <w:rPr>
                <w:b w:val="0"/>
                <w:i w:val="0"/>
                <w:sz w:val="19"/>
              </w:rPr>
              <w:t>«Dos objetos, no cinco. Nombra mientras lo haces y deja que toquen.»</w:t>
            </w:r>
          </w:p>
        </w:tc>
        <w:tc>
          <w:tcPr>
            <w:tcW w:type="dxa" w:w="2409"/>
          </w:tcPr>
          <w:p>
            <w:pPr>
              <w:spacing w:after="40"/>
            </w:pPr>
            <w:r>
              <w:rPr>
                <w:b w:val="0"/>
                <w:i w:val="0"/>
                <w:sz w:val="19"/>
              </w:rPr>
              <w:t>Cantidad, tamaño y forma dichas en voz alta mientras se manipulan. No se cuenta de memoria: se compara</w:t>
            </w:r>
          </w:p>
        </w:tc>
      </w:tr>
      <w:tr>
        <w:tc>
          <w:tcPr>
            <w:tcW w:type="dxa" w:w="2409"/>
            <w:shd w:val="clear" w:fill="F9FBFC"/>
          </w:tcPr>
          <w:p>
            <w:pPr>
              <w:spacing w:after="40"/>
            </w:pPr>
            <w:r>
              <w:rPr>
                <w:b/>
                <w:i w:val="0"/>
                <w:sz w:val="19"/>
              </w:rPr>
              <w:t>6 · Puente a casa</w:t>
            </w:r>
          </w:p>
        </w:tc>
        <w:tc>
          <w:tcPr>
            <w:tcW w:type="dxa" w:w="2409"/>
            <w:shd w:val="clear" w:fill="F9FBFC"/>
          </w:tcPr>
          <w:p>
            <w:pPr>
              <w:spacing w:after="40"/>
            </w:pPr>
            <w:r>
              <w:rPr>
                <w:b w:val="0"/>
                <w:i w:val="0"/>
                <w:sz w:val="19"/>
              </w:rPr>
              <w:t>1</w:t>
            </w:r>
          </w:p>
        </w:tc>
        <w:tc>
          <w:tcPr>
            <w:tcW w:type="dxa" w:w="2409"/>
            <w:shd w:val="clear" w:fill="F9FBFC"/>
          </w:tcPr>
          <w:p>
            <w:pPr>
              <w:spacing w:after="40"/>
            </w:pPr>
            <w:r>
              <w:rPr>
                <w:b w:val="0"/>
                <w:i w:val="0"/>
                <w:sz w:val="19"/>
              </w:rPr>
              <w:t>«Quédate con la nota para las casas: dila en la puerta o escríbela en la entrada.»</w:t>
            </w:r>
          </w:p>
        </w:tc>
        <w:tc>
          <w:tcPr>
            <w:tcW w:type="dxa" w:w="2409"/>
            <w:shd w:val="clear" w:fill="F9FBFC"/>
          </w:tcPr>
          <w:p>
            <w:pPr>
              <w:spacing w:after="40"/>
            </w:pPr>
            <w:r>
              <w:rPr>
                <w:b w:val="0"/>
                <w:i w:val="0"/>
                <w:sz w:val="19"/>
              </w:rPr>
              <w:t xml:space="preserve">Que lo del aula llegue a casa </w:t>
            </w:r>
            <w:r>
              <w:rPr>
                <w:b w:val="0"/>
                <w:i/>
                <w:sz w:val="19"/>
              </w:rPr>
              <w:t>esa misma tarde</w:t>
            </w:r>
            <w:r>
              <w:rPr>
                <w:b w:val="0"/>
                <w:i w:val="0"/>
                <w:sz w:val="19"/>
              </w:rPr>
              <w:t>. Sin esto, la asamblea se queda en el aula</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Ocho minutos, y el reloj empieza parado</w:t>
            </w:r>
          </w:p>
          <w:p>
            <w:pPr>
              <w:spacing w:after="40"/>
            </w:pPr>
            <w:r>
              <w:rPr>
                <w:b w:val="0"/>
                <w:i w:val="0"/>
                <w:sz w:val="20"/>
              </w:rPr>
              <w:t>La cabecera suma los minutos de las seis fases. El reloj de cada fase no arranca solo: lo arrancas tú cuando el grupo está listo, y cambia de color si te pasas. No suena nada y no pasa nada por pasarse: es una referencia, no una alarma.</w:t>
            </w:r>
          </w:p>
        </w:tc>
      </w:tr>
    </w:tbl>
    <w:p>
      <w:pPr>
        <w:spacing w:after="80"/>
      </w:pPr>
    </w:p>
    <w:p>
      <w:pPr>
        <w:pStyle w:val="Heading2"/>
      </w:pPr>
      <w:r>
        <w:t>Tres hilos que cruzan las seis fases</w:t>
      </w:r>
    </w:p>
    <w:p>
      <w:pPr>
        <w:spacing w:after="120"/>
      </w:pPr>
      <w:r>
        <w:rPr>
          <w:b/>
          <w:i w:val="0"/>
        </w:rPr>
        <w:t>El pulso se ve, no se oye.</w:t>
      </w:r>
      <w:r>
        <w:rPr>
          <w:b w:val="0"/>
          <w:i w:val="0"/>
        </w:rPr>
        <w:t xml:space="preserve"> El metrónomo es visual a propósito. Parte de las criaturas llevan audiófono o implante coclear, y un metrónomo sonoro compite justo con la voz que tienen que seguir. El pulso se dibuja y el canal auditivo queda entero para la letra.</w:t>
      </w:r>
    </w:p>
    <w:p>
      <w:pPr>
        <w:spacing w:after="120"/>
      </w:pPr>
      <w:r>
        <w:rPr>
          <w:b/>
          <w:i w:val="0"/>
        </w:rPr>
        <w:t>El inglés es contenido, no un idioma de la app.</w:t>
      </w:r>
      <w:r>
        <w:rPr>
          <w:b w:val="0"/>
          <w:i w:val="0"/>
        </w:rPr>
        <w:t xml:space="preserve"> Ninguna pantalla se lee en inglés. Lo que hay son dos o tres palabras y una orden de cuerpo por fase, con su grabación: </w:t>
      </w:r>
      <w:r>
        <w:rPr>
          <w:b w:val="0"/>
          <w:i/>
        </w:rPr>
        <w:t>pulsas, oyes cómo se dice, y luego lo dices tú</w:t>
      </w:r>
      <w:r>
        <w:rPr>
          <w:b w:val="0"/>
          <w:i w:val="0"/>
        </w:rPr>
        <w:t>. No hace falta saber inglés para usarlo; hace falta oírlo antes. Las grabaciones van despacio a propósito.</w:t>
      </w:r>
    </w:p>
    <w:p>
      <w:pPr>
        <w:spacing w:after="120"/>
      </w:pPr>
      <w:r>
        <w:rPr>
          <w:b/>
          <w:i w:val="0"/>
        </w:rPr>
        <w:t>El calendario es lo que une aula y casa.</w:t>
      </w:r>
      <w:r>
        <w:rPr>
          <w:b w:val="0"/>
          <w:i w:val="0"/>
        </w:rPr>
        <w:t xml:space="preserve"> Cada mes tiene un centro de interés, y de él salen la unidad que usas en la asamblea y la cápsula que la familia lee en casa. Cuando en la misma semana la docente registra la asamblea y la familia registra su juego de tres minutos, el mes queda enlazado. Esa coincidencia es el objetivo: que la criatura oiga lo mismo en los dos sitios.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la app no hace, y no es un olvido</w:t>
            </w:r>
          </w:p>
          <w:p>
            <w:pPr>
              <w:spacing w:after="40"/>
            </w:pPr>
            <w:r>
              <w:rPr>
                <w:b w:val="0"/>
                <w:i w:val="0"/>
                <w:sz w:val="20"/>
              </w:rPr>
              <w:t xml:space="preserve">No evalúa a nadie, no puntúa, no guarda quién hizo qué y no emite informes. Los premios de Lúa cuentan lo que hace </w:t>
            </w:r>
            <w:r>
              <w:rPr>
                <w:b/>
                <w:i w:val="0"/>
                <w:sz w:val="20"/>
              </w:rPr>
              <w:t>la persona adulta</w:t>
            </w:r>
            <w:r>
              <w:rPr>
                <w:b w:val="0"/>
                <w:i w:val="0"/>
                <w:sz w:val="20"/>
              </w:rPr>
              <w:t xml:space="preserve"> —asambleas dirigidas, cápsulas leídas— y nunca el progreso de una criatura, porque ese dato no se ha medido y no se inventa.</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El mes en curso aparece destacado. Los diez meses del curso están ahí, de septiembre a junio.</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Conducir la asamblea matinal de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de 4.º, 5.º o 6.º de Infantil</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 primera hora, con el grupo sentado en la alfombra. Son diez minutos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cuatro fases recorridas, del saludo a la calma, con el inglés dentro del movimiento</w:t>
            </w:r>
          </w:p>
        </w:tc>
      </w:tr>
    </w:tbl>
    <w:p>
      <w:pPr>
        <w:spacing w:after="80"/>
      </w:pPr>
    </w:p>
    <w:p>
      <w:pPr>
        <w:pStyle w:val="ListNumber"/>
        <w:spacing w:after="40"/>
      </w:pPr>
      <w:r>
        <w:rPr>
          <w:b w:val="0"/>
          <w:i w:val="0"/>
        </w:rPr>
        <w:t xml:space="preserve">Abre </w:t>
      </w:r>
      <w:r>
        <w:rPr>
          <w:b/>
          <w:i w:val="0"/>
        </w:rPr>
        <w:t>Juega con Lúa · Aula</w:t>
      </w:r>
      <w:r>
        <w:rPr>
          <w:b w:val="0"/>
          <w:i w:val="0"/>
        </w:rPr>
        <w:t xml:space="preserve"> y pulsa la pestaña </w:t>
      </w:r>
      <w:r>
        <w:rPr>
          <w:b/>
          <w:i w:val="0"/>
        </w:rPr>
        <w:t>2.º Ciclo (3-6 anos)</w:t>
      </w:r>
      <w:r>
        <w:rPr>
          <w:b w:val="0"/>
          <w:i w:val="0"/>
        </w:rPr>
        <w:t>.</w:t>
      </w:r>
    </w:p>
    <w:p>
      <w:pPr>
        <w:pStyle w:val="ListNumber"/>
        <w:spacing w:after="40"/>
      </w:pPr>
      <w:r>
        <w:rPr>
          <w:b w:val="0"/>
          <w:i w:val="0"/>
        </w:rPr>
        <w:t xml:space="preserve">Verás </w:t>
      </w:r>
      <w:r>
        <w:rPr>
          <w:b/>
          <w:i w:val="0"/>
        </w:rPr>
        <w:t>Asemblea Matinal do 2.º Ciclo</w:t>
      </w:r>
      <w:r>
        <w:rPr>
          <w:b w:val="0"/>
          <w:i w:val="0"/>
        </w:rPr>
        <w:t xml:space="preserve">. Para entrar hay dos caminos: </w:t>
      </w:r>
      <w:r>
        <w:rPr>
          <w:b w:val="0"/>
          <w:i w:val="0"/>
        </w:rPr>
        <w:t xml:space="preserve"> </w:t>
      </w:r>
      <w:r>
        <w:rPr>
          <w:b/>
          <w:i w:val="0"/>
        </w:rPr>
        <w:t>Comezar a asemblea</w:t>
      </w:r>
      <w:r>
        <w:rPr>
          <w:b w:val="0"/>
          <w:i w:val="0"/>
        </w:rPr>
        <w:t>, el botón grande de arriba, que abre el nivel que ya estuviera elegido.</w:t>
      </w:r>
      <w:r>
        <w:rPr>
          <w:b w:val="0"/>
          <w:i w:val="0"/>
        </w:rPr>
        <w:t xml:space="preserve"> </w:t>
      </w:r>
      <w:r>
        <w:rPr>
          <w:b w:val="0"/>
          <w:i w:val="0"/>
        </w:rPr>
        <w:t xml:space="preserve">O baja a </w:t>
      </w:r>
      <w:r>
        <w:rPr>
          <w:b/>
          <w:i w:val="0"/>
        </w:rPr>
        <w:t>Sesións por nivel</w:t>
      </w:r>
      <w:r>
        <w:rPr>
          <w:b w:val="0"/>
          <w:i w:val="0"/>
        </w:rPr>
        <w:t xml:space="preserve"> y pulsa </w:t>
      </w:r>
      <w:r>
        <w:rPr>
          <w:b/>
          <w:i w:val="0"/>
        </w:rPr>
        <w:t>Abrir a asemblea</w:t>
      </w:r>
      <w:r>
        <w:rPr>
          <w:b w:val="0"/>
          <w:i w:val="0"/>
        </w:rPr>
        <w:t xml:space="preserve"> en la tarjeta del nivel que te toque. Cada uno trae su propia asamblea y su manera de trabajar: 4.º con acción expandida, 5.º dramatizado con parada («freeze»), 6.º entre iguales.</w:t>
      </w:r>
      <w:r>
        <w:rPr>
          <w:b w:val="0"/>
          <w:i w:val="0"/>
        </w:rPr>
        <w:t xml:space="preserve"> </w:t>
      </w:r>
      <w:r>
        <w:rPr>
          <w:b w:val="0"/>
          <w:i w:val="0"/>
        </w:rPr>
        <w:t xml:space="preserve"> </w:t>
      </w:r>
    </w:p>
    <w:p>
      <w:pPr>
        <w:pStyle w:val="ListNumber"/>
        <w:spacing w:after="20"/>
        <w:ind w:left="907"/>
      </w:pPr>
      <w:r>
        <w:rPr>
          <w:b/>
          <w:i w:val="0"/>
        </w:rPr>
        <w:t>Comezar a asemblea</w:t>
      </w:r>
      <w:r>
        <w:rPr>
          <w:b w:val="0"/>
          <w:i w:val="0"/>
        </w:rPr>
        <w:t>, el botón grande de arriba, que abre el nivel que ya estuviera elegido.</w:t>
      </w:r>
    </w:p>
    <w:p>
      <w:pPr>
        <w:pStyle w:val="ListNumber"/>
        <w:spacing w:after="20"/>
        <w:ind w:left="907"/>
      </w:pPr>
      <w:r>
        <w:rPr>
          <w:b w:val="0"/>
          <w:i w:val="0"/>
        </w:rPr>
        <w:t xml:space="preserve">O baja a </w:t>
      </w:r>
      <w:r>
        <w:rPr>
          <w:b/>
          <w:i w:val="0"/>
        </w:rPr>
        <w:t>Sesións por nivel</w:t>
      </w:r>
      <w:r>
        <w:rPr>
          <w:b w:val="0"/>
          <w:i w:val="0"/>
        </w:rPr>
        <w:t xml:space="preserve"> y pulsa </w:t>
      </w:r>
      <w:r>
        <w:rPr>
          <w:b/>
          <w:i w:val="0"/>
        </w:rPr>
        <w:t>Abrir a asemblea</w:t>
      </w:r>
      <w:r>
        <w:rPr>
          <w:b w:val="0"/>
          <w:i w:val="0"/>
        </w:rPr>
        <w:t xml:space="preserve"> en la tarjeta del nivel que te toque. Cada uno trae su propia asamblea y su manera de trabajar: 4.º con acción expandida, 5.º dramatizado con parada («freeze»), 6.º entre iguales.</w:t>
      </w:r>
    </w:p>
    <w:p>
      <w:pPr>
        <w:pStyle w:val="ListNumber"/>
        <w:spacing w:after="40"/>
      </w:pPr>
      <w:r>
        <w:rPr>
          <w:b w:val="0"/>
          <w:i w:val="0"/>
        </w:rPr>
        <w:t xml:space="preserve">También se llega desde el </w:t>
      </w:r>
      <w:r>
        <w:rPr>
          <w:b/>
          <w:i w:val="0"/>
        </w:rPr>
        <w:t>Calendario Escola·Fogar</w:t>
      </w:r>
      <w:r>
        <w:rPr>
          <w:b w:val="0"/>
          <w:i w:val="0"/>
        </w:rPr>
        <w:t>: la ficha del mes trae los tres niveles al final, debajo de lo del primer ciclo.</w:t>
      </w:r>
    </w:p>
    <w:p>
      <w:pPr>
        <w:pStyle w:val="ListNumber"/>
        <w:spacing w:after="40"/>
      </w:pPr>
      <w:r>
        <w:rPr>
          <w:b w:val="0"/>
          <w:i w:val="0"/>
        </w:rPr>
        <w:t xml:space="preserve">Se abre la asamblea. </w:t>
      </w:r>
      <w:r>
        <w:rPr>
          <w:b/>
          <w:i w:val="0"/>
        </w:rPr>
        <w:t>Es la misma pantalla que la de primer ciclo</w:t>
      </w:r>
      <w:r>
        <w:rPr>
          <w:b w:val="0"/>
          <w:i w:val="0"/>
        </w:rPr>
        <w:t>: fondo claro, «Fase 1 de 4» con su barra de progreso, el aviso de móvil fuera de la vista, y la lámina de la fase.</w:t>
      </w:r>
    </w:p>
    <w:p>
      <w:pPr>
        <w:pStyle w:val="ListNumber"/>
        <w:spacing w:after="40"/>
      </w:pPr>
      <w:r>
        <w:rPr>
          <w:b w:val="0"/>
          <w:i w:val="0"/>
        </w:rPr>
        <w:t xml:space="preserve">Arriba tienes las </w:t>
      </w:r>
      <w:r>
        <w:rPr>
          <w:b/>
          <w:i w:val="0"/>
        </w:rPr>
        <w:t>cuatro fases</w:t>
      </w:r>
      <w:r>
        <w:rPr>
          <w:b w:val="0"/>
          <w:i w:val="0"/>
        </w:rPr>
        <w:t xml:space="preserve">. Pulsa la que toque, o avanza con </w:t>
      </w:r>
      <w:r>
        <w:rPr>
          <w:b/>
          <w:i w:val="0"/>
        </w:rPr>
        <w:t>Seguinte Fase</w:t>
      </w:r>
      <w:r>
        <w:rPr>
          <w:b w:val="0"/>
          <w:i w:val="0"/>
        </w:rPr>
        <w:t xml:space="preserve">. </w:t>
      </w:r>
      <w:r>
        <w:rPr>
          <w:b w:val="0"/>
          <w:i w:val="0"/>
        </w:rPr>
        <w:t xml:space="preserve"> </w:t>
      </w:r>
      <w:r>
        <w:rPr>
          <w:b/>
          <w:i w:val="0"/>
        </w:rPr>
        <w:t>1 · Apertura y saludo</w:t>
      </w:r>
      <w:r>
        <w:rPr>
          <w:b w:val="0"/>
          <w:i w:val="0"/>
        </w:rPr>
        <w:t xml:space="preserve"> — reunir el círculo y saludar a Lúa.</w:t>
      </w:r>
      <w:r>
        <w:rPr>
          <w:b w:val="0"/>
          <w:i w:val="0"/>
        </w:rPr>
        <w:t xml:space="preserve"> </w:t>
      </w:r>
      <w:r>
        <w:rPr>
          <w:b/>
          <w:i w:val="0"/>
        </w:rPr>
        <w:t>2 · Foco rítmico</w:t>
      </w:r>
      <w:r>
        <w:rPr>
          <w:b w:val="0"/>
          <w:i w:val="0"/>
        </w:rPr>
        <w:t xml:space="preserve"> — el pulso a 72 por minuto, con palmas.</w:t>
      </w:r>
      <w:r>
        <w:rPr>
          <w:b w:val="0"/>
          <w:i w:val="0"/>
        </w:rPr>
        <w:t xml:space="preserve"> </w:t>
      </w:r>
      <w:r>
        <w:rPr>
          <w:b/>
          <w:i w:val="0"/>
        </w:rPr>
        <w:t>3 · Reto TPR en inglés</w:t>
      </w:r>
      <w:r>
        <w:rPr>
          <w:b w:val="0"/>
          <w:i w:val="0"/>
        </w:rPr>
        <w:t xml:space="preserve"> — la orden se dice y se hace. El grupo responde con el cuerpo.</w:t>
      </w:r>
      <w:r>
        <w:rPr>
          <w:b w:val="0"/>
          <w:i w:val="0"/>
        </w:rPr>
        <w:t xml:space="preserve"> </w:t>
      </w:r>
      <w:r>
        <w:rPr>
          <w:b/>
          <w:i w:val="0"/>
        </w:rPr>
        <w:t>4 · Calma y transición</w:t>
      </w:r>
      <w:r>
        <w:rPr>
          <w:b w:val="0"/>
          <w:i w:val="0"/>
        </w:rPr>
        <w:t xml:space="preserve"> — respiración y material natural para salir del círculo.</w:t>
      </w:r>
      <w:r>
        <w:rPr>
          <w:b w:val="0"/>
          <w:i w:val="0"/>
        </w:rPr>
        <w:t xml:space="preserve"> </w:t>
      </w:r>
      <w:r>
        <w:rPr>
          <w:b w:val="0"/>
          <w:i w:val="0"/>
        </w:rPr>
        <w:t xml:space="preserve"> </w:t>
      </w:r>
    </w:p>
    <w:p>
      <w:pPr>
        <w:pStyle w:val="ListNumber"/>
        <w:spacing w:after="20"/>
        <w:ind w:left="907"/>
      </w:pPr>
      <w:r>
        <w:rPr>
          <w:b/>
          <w:i w:val="0"/>
        </w:rPr>
        <w:t>1 · Apertura y saludo</w:t>
      </w:r>
      <w:r>
        <w:rPr>
          <w:b w:val="0"/>
          <w:i w:val="0"/>
        </w:rPr>
        <w:t xml:space="preserve"> — reunir el círculo y saludar a Lúa.</w:t>
      </w:r>
    </w:p>
    <w:p>
      <w:pPr>
        <w:pStyle w:val="ListNumber"/>
        <w:spacing w:after="20"/>
        <w:ind w:left="907"/>
      </w:pPr>
      <w:r>
        <w:rPr>
          <w:b/>
          <w:i w:val="0"/>
        </w:rPr>
        <w:t>2 · Foco rítmico</w:t>
      </w:r>
      <w:r>
        <w:rPr>
          <w:b w:val="0"/>
          <w:i w:val="0"/>
        </w:rPr>
        <w:t xml:space="preserve"> — el pulso a 72 por minuto, con palmas.</w:t>
      </w:r>
    </w:p>
    <w:p>
      <w:pPr>
        <w:pStyle w:val="ListNumber"/>
        <w:spacing w:after="20"/>
        <w:ind w:left="907"/>
      </w:pPr>
      <w:r>
        <w:rPr>
          <w:b/>
          <w:i w:val="0"/>
        </w:rPr>
        <w:t>3 · Reto TPR en inglés</w:t>
      </w:r>
      <w:r>
        <w:rPr>
          <w:b w:val="0"/>
          <w:i w:val="0"/>
        </w:rPr>
        <w:t xml:space="preserve"> — la orden se dice y se hace. El grupo responde con el cuerpo.</w:t>
      </w:r>
    </w:p>
    <w:p>
      <w:pPr>
        <w:pStyle w:val="ListNumber"/>
        <w:spacing w:after="20"/>
        <w:ind w:left="907"/>
      </w:pPr>
      <w:r>
        <w:rPr>
          <w:b/>
          <w:i w:val="0"/>
        </w:rPr>
        <w:t>4 · Calma y transición</w:t>
      </w:r>
      <w:r>
        <w:rPr>
          <w:b w:val="0"/>
          <w:i w:val="0"/>
        </w:rPr>
        <w:t xml:space="preserve"> — respiración y material natural para salir del círculo.</w:t>
      </w:r>
    </w:p>
    <w:p>
      <w:pPr>
        <w:pStyle w:val="ListNumber"/>
        <w:spacing w:after="40"/>
      </w:pPr>
      <w:r>
        <w:rPr>
          <w:b w:val="0"/>
          <w:i w:val="0"/>
        </w:rPr>
        <w:t xml:space="preserve">Cada fase trae su </w:t>
      </w:r>
      <w:r>
        <w:rPr>
          <w:b/>
          <w:i w:val="0"/>
        </w:rPr>
        <w:t>cronómetro</w:t>
      </w:r>
      <w:r>
        <w:rPr>
          <w:b w:val="0"/>
          <w:i w:val="0"/>
        </w:rPr>
        <w:t xml:space="preserve"> con los segundos que le tocan, y su consigna escrita para la docente.</w:t>
      </w:r>
    </w:p>
    <w:p>
      <w:pPr>
        <w:pStyle w:val="ListNumber"/>
        <w:spacing w:after="40"/>
      </w:pPr>
      <w:r>
        <w:rPr>
          <w:b w:val="0"/>
          <w:i w:val="0"/>
        </w:rPr>
        <w:t>El nivel se cambia sin salir: pulsa otro en la fila de arriba y la asamblea entera cambia con él.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En la fase 3 nunca se le pide a la criatura que diga nada en inglés, ni que repita, ni que traduzca. La orden se acompaña del gesto, y responder con el cuerpo ya es responder. Quien habla inglés en la asamblea es la persona adulta.</w:t>
            </w:r>
          </w:p>
        </w:tc>
      </w:tr>
    </w:tbl>
    <w:p>
      <w:pPr>
        <w:spacing w:after="80"/>
      </w:pPr>
    </w:p>
    <w:p>
      <w:pPr>
        <w:spacing w:after="120"/>
      </w:pPr>
      <w:r>
        <w:rPr>
          <w:b w:val="0"/>
          <w:i w:val="0"/>
          <w:color w:val="6B7280"/>
          <w:sz w:val="18"/>
        </w:rPr>
        <w:t>Cada consigna lleva su altavoz, en gallego y en castellano, y el inglés del saludo y de cada orden TPR tiene el suyo aparte: se oye cómo suena antes de decirlo en el aula. El pulso de la fase 2 se ve además de oírse.</w:t>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CU-16</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CU-17</w:t>
            </w:r>
          </w:p>
          <w:p>
            <w:pPr>
              <w:spacing w:after="0"/>
            </w:pPr>
            <w:r>
              <w:rPr>
                <w:b/>
                <w:i w:val="0"/>
                <w:color w:val="FFFFFF"/>
                <w:sz w:val="26"/>
              </w:rPr>
              <w:t>Hacer la micro-rutina del mes, en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 de una criatura de 3 a 6 años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en un momento fijo del día. Al llegar a casa, por ejemplo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rato de lengua dentro de una rutina que ya existía, sin deberes y sin examen</w:t>
            </w:r>
          </w:p>
        </w:tc>
      </w:tr>
    </w:tbl>
    <w:p>
      <w:pPr>
        <w:spacing w:after="80"/>
      </w:pPr>
    </w:p>
    <w:p>
      <w:pPr>
        <w:pStyle w:val="ListNumber"/>
        <w:spacing w:after="40"/>
      </w:pPr>
      <w:r>
        <w:rPr>
          <w:b w:val="0"/>
          <w:i w:val="0"/>
        </w:rPr>
        <w:t xml:space="preserve">En </w:t>
      </w:r>
      <w:r>
        <w:rPr>
          <w:b/>
          <w:i w:val="0"/>
        </w:rPr>
        <w:t>Academy · Familias</w:t>
      </w:r>
      <w:r>
        <w:rPr>
          <w:b w:val="0"/>
          <w:i w:val="0"/>
        </w:rPr>
        <w:t xml:space="preserve">, abre la tarjeta </w:t>
      </w:r>
      <w:r>
        <w:rPr>
          <w:b/>
          <w:i w:val="0"/>
        </w:rPr>
        <w:t>Segundo ciclo (3-6 anos)</w:t>
      </w:r>
      <w:r>
        <w:rPr>
          <w:b w:val="0"/>
          <w:i w:val="0"/>
        </w:rPr>
        <w:t xml:space="preserve">, la que se titula </w:t>
      </w:r>
      <w:r>
        <w:rPr>
          <w:b w:val="0"/>
          <w:i/>
        </w:rPr>
        <w:t>Micro-rutina de setembro: responder sen corrixir</w:t>
      </w:r>
      <w:r>
        <w:rPr>
          <w:b w:val="0"/>
          <w:i w:val="0"/>
        </w:rPr>
        <w:t>.</w:t>
      </w:r>
    </w:p>
    <w:p>
      <w:pPr>
        <w:pStyle w:val="ListNumber"/>
        <w:spacing w:after="40"/>
      </w:pPr>
      <w:r>
        <w:rPr>
          <w:b w:val="0"/>
          <w:i w:val="0"/>
        </w:rPr>
        <w:t xml:space="preserve">Lee la </w:t>
      </w:r>
      <w:r>
        <w:rPr>
          <w:b/>
          <w:i w:val="0"/>
        </w:rPr>
        <w:t>escena cotidiana</w:t>
      </w:r>
      <w:r>
        <w:rPr>
          <w:b w:val="0"/>
          <w:i w:val="0"/>
        </w:rPr>
        <w:t xml:space="preserve"> del mes: qué momento es y qué se hace en él.</w:t>
      </w:r>
    </w:p>
    <w:p>
      <w:pPr>
        <w:pStyle w:val="ListNumber"/>
        <w:spacing w:after="40"/>
      </w:pPr>
      <w:r>
        <w:rPr>
          <w:b w:val="0"/>
          <w:i w:val="0"/>
        </w:rPr>
        <w:t xml:space="preserve">Debajo está la guía de </w:t>
      </w:r>
      <w:r>
        <w:rPr>
          <w:b/>
          <w:i w:val="0"/>
        </w:rPr>
        <w:t>cómo responder sin corregir</w:t>
      </w:r>
      <w:r>
        <w:rPr>
          <w:b w:val="0"/>
          <w:i w:val="0"/>
        </w:rPr>
        <w:t>. Cada ejemplo trae tres cosas: lo que dice la criatura, lo que conviene evitar, y cómo devolverle la frase entera dentro del juego.</w:t>
      </w:r>
    </w:p>
    <w:p>
      <w:pPr>
        <w:pStyle w:val="ListNumber"/>
        <w:spacing w:after="40"/>
      </w:pPr>
      <w:r>
        <w:rPr>
          <w:b w:val="0"/>
          <w:i w:val="0"/>
        </w:rPr>
        <w:t>Elige un solo momento y repítelo la misma semana. La repetición es el método; la variedad no.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Ni examen ni traducción</w:t>
            </w:r>
          </w:p>
          <w:p>
            <w:pPr>
              <w:spacing w:after="40"/>
            </w:pPr>
            <w:r>
              <w:rPr>
                <w:b w:val="0"/>
                <w:i w:val="0"/>
                <w:sz w:val="20"/>
              </w:rPr>
              <w:t>Preguntar «¿cómo se dice esto?» convierte el rato en una prueba, y la prueba corta la conversación. Devolver la frase bien dicha y seguir jugando deja la puerta abierta a que siga hablando. La regla de oro: esperar cinco segundos antes de ayudar.</w:t>
            </w:r>
          </w:p>
        </w:tc>
      </w:tr>
    </w:tbl>
    <w:p>
      <w:pPr>
        <w:spacing w:after="80"/>
      </w:pPr>
    </w:p>
    <w:p>
      <w:pPr>
        <w:spacing w:after="120"/>
      </w:pPr>
      <w:r>
        <w:rPr>
          <w:b w:val="0"/>
          <w:i w:val="0"/>
          <w:color w:val="6B7280"/>
          <w:sz w:val="18"/>
        </w:rPr>
        <w:t>Las lenguas de casa —gallego, castellano, o las que haya— son el suelo afectivo y no se sustituyen. El inglés entra en un hueco pequeño, y no hace falta hablarlo bien para acompañarlo.</w:t>
      </w:r>
    </w:p>
    <w:p>
      <w:pPr>
        <w:spacing w:after="20"/>
      </w:pPr>
      <w:r>
        <w:rPr>
          <w:b/>
          <w:i w:val="0"/>
          <w:color w:val="1B4965"/>
          <w:sz w:val="17"/>
        </w:rPr>
        <w:t>CIERRE</w:t>
      </w:r>
    </w:p>
    <w:p>
      <w:pPr>
        <w:pStyle w:val="Heading1"/>
      </w:pPr>
      <w:r>
        <w:t>5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 · primer ciclo</w:t>
            </w:r>
          </w:p>
        </w:tc>
        <w:tc>
          <w:tcPr>
            <w:tcW w:type="dxa" w:w="4819"/>
          </w:tcPr>
          <w:p>
            <w:pPr>
              <w:spacing w:after="40"/>
            </w:pPr>
            <w:r>
              <w:rPr>
                <w:b w:val="0"/>
                <w:i w:val="0"/>
                <w:sz w:val="19"/>
              </w:rPr>
              <w:t>Diez unidades de aula, una por cada mes del curso, que es lo que el Calendario Escola·Fogar reparte. Doce cápsulas en total: seis para las familias y seis de formación docente</w:t>
            </w:r>
          </w:p>
        </w:tc>
      </w:tr>
      <w:tr>
        <w:tc>
          <w:tcPr>
            <w:tcW w:type="dxa" w:w="4819"/>
            <w:shd w:val="clear" w:fill="F9FBFC"/>
          </w:tcPr>
          <w:p>
            <w:pPr>
              <w:spacing w:after="40"/>
            </w:pPr>
            <w:r>
              <w:rPr>
                <w:b/>
                <w:i w:val="0"/>
                <w:sz w:val="19"/>
              </w:rPr>
              <w:t>Contenido · segundo ciclo</w:t>
            </w:r>
          </w:p>
        </w:tc>
        <w:tc>
          <w:tcPr>
            <w:tcW w:type="dxa" w:w="4819"/>
            <w:shd w:val="clear" w:fill="F9FBFC"/>
          </w:tcPr>
          <w:p>
            <w:pPr>
              <w:spacing w:after="40"/>
            </w:pPr>
            <w:r>
              <w:rPr>
                <w:b/>
                <w:i w:val="0"/>
                <w:sz w:val="19"/>
              </w:rPr>
              <w:t>Solo septiembre.</w:t>
            </w:r>
            <w:r>
              <w:rPr>
                <w:b w:val="0"/>
                <w:i w:val="0"/>
                <w:sz w:val="19"/>
              </w:rPr>
              <w:t xml:space="preserve"> Tres asambleas matinales, una por nivel (4.º, 5.º y 6.º de Infantil), con su micro-rutina de casa y su cápsula de familia. Los otros nueve meses del curso todavía no están escritos</w:t>
            </w:r>
          </w:p>
        </w:tc>
      </w:tr>
      <w:tr>
        <w:tc>
          <w:tcPr>
            <w:tcW w:type="dxa" w:w="4819"/>
          </w:tcPr>
          <w:p>
            <w:pPr>
              <w:spacing w:after="40"/>
            </w:pPr>
            <w:r>
              <w:rPr>
                <w:b/>
                <w:i w:val="0"/>
                <w:sz w:val="19"/>
              </w:rPr>
              <w:t>Ilustraciones</w:t>
            </w:r>
          </w:p>
        </w:tc>
        <w:tc>
          <w:tcPr>
            <w:tcW w:type="dxa" w:w="4819"/>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shd w:val="clear" w:fill="F9FBFC"/>
          </w:tcPr>
          <w:p>
            <w:pPr>
              <w:spacing w:after="40"/>
            </w:pPr>
            <w:r>
              <w:rPr>
                <w:b/>
                <w:i w:val="0"/>
                <w:sz w:val="19"/>
              </w:rPr>
              <w:t>Grabaciones</w:t>
            </w:r>
          </w:p>
        </w:tc>
        <w:tc>
          <w:tcPr>
            <w:tcW w:type="dxa" w:w="4819"/>
            <w:shd w:val="clear" w:fill="F9FBFC"/>
          </w:tcPr>
          <w:p>
            <w:pPr>
              <w:spacing w:after="40"/>
            </w:pPr>
            <w:r>
              <w:rPr>
                <w:b w:val="0"/>
                <w:i w:val="0"/>
                <w:sz w:val="19"/>
              </w:rPr>
              <w:t xml:space="preserve">Completas: las 1038 locuciones que el contenido declara viajan dentro del paquete, en gallego, castellano e inglés. Si alguna faltase, el botón de escuchar no se pinta. </w:t>
            </w:r>
            <w:r>
              <w:rPr>
                <w:b/>
                <w:i w:val="0"/>
                <w:sz w:val="19"/>
              </w:rPr>
              <w:t>Las consignas de la asamblea de segundo ciclo no llevan voz</w:t>
            </w:r>
            <w:r>
              <w:rPr>
                <w:b w:val="0"/>
                <w:i w:val="0"/>
                <w:sz w:val="19"/>
              </w:rPr>
              <w:t>: se leen</w:t>
            </w:r>
          </w:p>
        </w:tc>
      </w:tr>
      <w:tr>
        <w:tc>
          <w:tcPr>
            <w:tcW w:type="dxa" w:w="4819"/>
          </w:tcPr>
          <w:p>
            <w:pPr>
              <w:spacing w:after="40"/>
            </w:pPr>
            <w:r>
              <w:rPr>
                <w:b/>
                <w:i w:val="0"/>
                <w:sz w:val="19"/>
              </w:rPr>
              <w:t>Vocabulario</w:t>
            </w:r>
          </w:p>
        </w:tc>
        <w:tc>
          <w:tcPr>
            <w:tcW w:type="dxa" w:w="4819"/>
          </w:tcPr>
          <w:p>
            <w:pPr>
              <w:spacing w:after="40"/>
            </w:pPr>
            <w:r>
              <w:rPr>
                <w:b w:val="0"/>
                <w:i w:val="0"/>
                <w:sz w:val="19"/>
              </w:rPr>
              <w:t>Cinco palabras por unidad, con su lámina, su definición y su grabación en las tres lenguas. Se ven en la fase 2 de la asamblea</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Dentro del primer ciclo, 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 El conmutador de ciclo sí separa de verdad: cada etapa tiene su contenido</w:t>
            </w:r>
          </w:p>
        </w:tc>
      </w:tr>
    </w:tbl>
    <w:p>
      <w:pPr>
        <w:spacing w:after="80"/>
      </w:pPr>
    </w:p>
    <w:p>
      <w:pPr>
        <w:pStyle w:val="Heading1"/>
      </w:pPr>
      <w:r>
        <w:t>6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El 2.º ciclo solo enseña septiembre</w:t>
            </w:r>
          </w:p>
        </w:tc>
        <w:tc>
          <w:tcPr>
            <w:tcW w:type="dxa" w:w="4819"/>
            <w:shd w:val="clear" w:fill="F9FBFC"/>
          </w:tcPr>
          <w:p>
            <w:pPr>
              <w:spacing w:after="40"/>
            </w:pPr>
            <w:r>
              <w:rPr>
                <w:b w:val="0"/>
                <w:i w:val="0"/>
                <w:sz w:val="19"/>
              </w:rPr>
              <w:t>Es así en esta versión: los otros nueve meses aún no están escritos</w:t>
            </w:r>
          </w:p>
        </w:tc>
      </w:tr>
      <w:tr>
        <w:tc>
          <w:tcPr>
            <w:tcW w:type="dxa" w:w="4819"/>
          </w:tcPr>
          <w:p>
            <w:pPr>
              <w:spacing w:after="40"/>
            </w:pPr>
            <w:r>
              <w:rPr>
                <w:b w:val="0"/>
                <w:i w:val="0"/>
                <w:sz w:val="19"/>
              </w:rPr>
              <w:t>Listas vacías sin mensaje</w:t>
            </w:r>
          </w:p>
        </w:tc>
        <w:tc>
          <w:tcPr>
            <w:tcW w:type="dxa" w:w="4819"/>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