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Primeiro ciclo de educación infantil (0-3)</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40"/>
      </w:pPr>
      <w:r>
        <w:rPr>
          <w:b/>
          <w:i w:val="0"/>
          <w:color w:val="1B4965"/>
          <w:sz w:val="18"/>
        </w:rPr>
        <w:t>CASOS DE USO · DOCENTE</w:t>
      </w:r>
    </w:p>
    <w:p>
      <w:pPr>
        <w:spacing w:after="20"/>
        <w:ind w:left="340"/>
      </w:pPr>
      <w:r>
        <w:rPr>
          <w:b/>
          <w:color w:val="1B4965"/>
        </w:rPr>
        <w:t xml:space="preserve">CU-1     </w:t>
      </w:r>
      <w:r>
        <w:t>Elegir la unidad de la asamblea</w:t>
      </w:r>
    </w:p>
    <w:p>
      <w:pPr>
        <w:spacing w:after="20"/>
        <w:ind w:left="340"/>
      </w:pPr>
      <w:r>
        <w:rPr>
          <w:b/>
          <w:color w:val="1B4965"/>
        </w:rPr>
        <w:t xml:space="preserve">CU-2     </w:t>
      </w:r>
      <w:r>
        <w:t>Conducir la asamblea guiada</w:t>
      </w:r>
    </w:p>
    <w:p>
      <w:pPr>
        <w:spacing w:after="20"/>
        <w:ind w:left="340"/>
      </w:pPr>
      <w:r>
        <w:rPr>
          <w:b/>
          <w:color w:val="1B4965"/>
        </w:rPr>
        <w:t xml:space="preserve">CU-3     </w:t>
      </w:r>
      <w:r>
        <w:t>Marcar el pulso</w:t>
      </w:r>
    </w:p>
    <w:p>
      <w:pPr>
        <w:spacing w:after="20"/>
        <w:ind w:left="340"/>
      </w:pPr>
      <w:r>
        <w:rPr>
          <w:b/>
          <w:color w:val="1B4965"/>
        </w:rPr>
        <w:t xml:space="preserve">CU-4     </w:t>
      </w:r>
      <w:r>
        <w:t>Reproducir el recitado de la letra</w:t>
      </w:r>
    </w:p>
    <w:p>
      <w:pPr>
        <w:spacing w:after="20"/>
        <w:ind w:left="340"/>
      </w:pPr>
      <w:r>
        <w:rPr>
          <w:b/>
          <w:color w:val="1B4965"/>
        </w:rPr>
        <w:t xml:space="preserve">CU-5     </w:t>
      </w:r>
      <w:r>
        <w:t>Cambiar de lengua a media asamblea</w:t>
      </w:r>
    </w:p>
    <w:p>
      <w:pPr>
        <w:spacing w:after="20"/>
        <w:ind w:left="340"/>
      </w:pPr>
      <w:r>
        <w:rPr>
          <w:b/>
          <w:color w:val="1B4965"/>
        </w:rPr>
        <w:t xml:space="preserve">CU-6     </w:t>
      </w:r>
      <w:r>
        <w:t>Cuando una grabación no está</w:t>
      </w:r>
    </w:p>
    <w:p>
      <w:pPr>
        <w:spacing w:after="20"/>
        <w:ind w:left="340"/>
      </w:pPr>
      <w:r>
        <w:rPr>
          <w:b/>
          <w:color w:val="1B4965"/>
        </w:rPr>
        <w:t xml:space="preserve">CU-7     </w:t>
      </w:r>
      <w:r>
        <w:t>Escuchar cómo se dice</w:t>
      </w:r>
    </w:p>
    <w:p>
      <w:pPr>
        <w:spacing w:after="20"/>
        <w:ind w:left="340"/>
      </w:pPr>
      <w:r>
        <w:rPr>
          <w:b/>
          <w:color w:val="1B4965"/>
        </w:rPr>
        <w:t xml:space="preserve">CU-8     </w:t>
      </w:r>
      <w:r>
        <w:t>Leer la formación de un paso</w:t>
      </w:r>
    </w:p>
    <w:p>
      <w:pPr>
        <w:spacing w:after="20"/>
        <w:ind w:left="340"/>
      </w:pPr>
      <w:r>
        <w:rPr>
          <w:b/>
          <w:color w:val="1B4965"/>
        </w:rPr>
        <w:t xml:space="preserve">CU-9     </w:t>
      </w:r>
      <w:r>
        <w:t>Ver los premios de Lúa</w:t>
      </w:r>
    </w:p>
    <w:p>
      <w:pPr>
        <w:spacing w:after="40"/>
      </w:pPr>
      <w:r>
        <w:rPr>
          <w:b/>
          <w:i w:val="0"/>
          <w:color w:val="1B4965"/>
          <w:sz w:val="18"/>
        </w:rPr>
        <w:t>CASOS DE USO · FAMILIAS</w:t>
      </w:r>
    </w:p>
    <w:p>
      <w:pPr>
        <w:spacing w:after="20"/>
        <w:ind w:left="340"/>
      </w:pPr>
      <w:r>
        <w:rPr>
          <w:b/>
          <w:color w:val="1B4965"/>
        </w:rPr>
        <w:t xml:space="preserve">CU-10    </w:t>
      </w:r>
      <w:r>
        <w:t>Leer una cápsula</w:t>
      </w:r>
    </w:p>
    <w:p>
      <w:pPr>
        <w:spacing w:after="20"/>
        <w:ind w:left="340"/>
      </w:pPr>
      <w:r>
        <w:rPr>
          <w:b/>
          <w:color w:val="1B4965"/>
        </w:rPr>
        <w:t xml:space="preserve">CU-11    </w:t>
      </w:r>
      <w:r>
        <w:t>Responder la reflexión</w:t>
      </w:r>
    </w:p>
    <w:p>
      <w:pPr>
        <w:spacing w:after="20"/>
        <w:ind w:left="340"/>
      </w:pPr>
      <w:r>
        <w:rPr>
          <w:b/>
          <w:color w:val="1B4965"/>
        </w:rPr>
        <w:t xml:space="preserve">CU-12    </w:t>
      </w:r>
      <w:r>
        <w:t>Usar la app sin la criatura delante</w:t>
      </w:r>
    </w:p>
    <w:p>
      <w:pPr>
        <w:spacing w:after="40"/>
      </w:pPr>
      <w:r>
        <w:rPr>
          <w:b/>
          <w:i w:val="0"/>
          <w:color w:val="1B4965"/>
          <w:sz w:val="18"/>
        </w:rPr>
        <w:t>CASOS DE USO · MANTENIMIENTO</w:t>
      </w:r>
    </w:p>
    <w:p>
      <w:pPr>
        <w:spacing w:after="20"/>
        <w:ind w:left="340"/>
      </w:pPr>
      <w:r>
        <w:rPr>
          <w:b/>
          <w:color w:val="1B4965"/>
        </w:rPr>
        <w:t xml:space="preserve">CU-13    </w:t>
      </w:r>
      <w:r>
        <w:t>Añadir una unidad o una cápsula</w:t>
      </w:r>
    </w:p>
    <w:p>
      <w:pPr>
        <w:spacing w:after="20"/>
        <w:ind w:left="340"/>
      </w:pPr>
      <w:r>
        <w:rPr>
          <w:b/>
          <w:color w:val="1B4965"/>
        </w:rPr>
        <w:t xml:space="preserve">CU-14    </w:t>
      </w:r>
      <w:r>
        <w:t>Cambiar un texto que tiene audio</w:t>
      </w:r>
    </w:p>
    <w:p>
      <w:pPr>
        <w:spacing w:after="20"/>
        <w:ind w:left="340"/>
      </w:pPr>
      <w:r>
        <w:rPr>
          <w:b/>
          <w:color w:val="1B4965"/>
        </w:rPr>
        <w:t xml:space="preserve">CU-15    </w:t>
      </w:r>
      <w:r>
        <w:t>Regenerar las voces</w:t>
      </w:r>
    </w:p>
    <w:p>
      <w:pPr>
        <w:spacing w:after="20"/>
        <w:ind w:left="340"/>
      </w:pPr>
      <w:r>
        <w:rPr>
          <w:b/>
          <w:color w:val="1B4965"/>
        </w:rPr>
        <w:t xml:space="preserve">CU-16    </w:t>
      </w:r>
      <w:r>
        <w:t>Comprobar antes de entregar</w:t>
      </w:r>
    </w:p>
    <w:p>
      <w:pPr>
        <w:spacing w:after="20"/>
        <w:ind w:left="340"/>
      </w:pPr>
      <w:r>
        <w:rPr>
          <w:b/>
          <w:color w:val="1B4965"/>
        </w:rPr>
        <w:t xml:space="preserve">CU-17    </w:t>
      </w:r>
      <w:r>
        <w:t>Auditar la privacidad del binario</w:t>
      </w:r>
    </w:p>
    <w:p>
      <w:pPr>
        <w:spacing w:after="40"/>
      </w:pPr>
      <w:r>
        <w:rPr>
          <w:b/>
          <w:i w:val="0"/>
          <w:color w:val="1B4965"/>
          <w:sz w:val="18"/>
        </w:rPr>
        <w:t>CIERRE</w:t>
      </w:r>
    </w:p>
    <w:p>
      <w:pPr>
        <w:spacing w:after="20"/>
        <w:ind w:left="340"/>
      </w:pPr>
      <w:r>
        <w:rPr>
          <w:b/>
          <w:color w:val="1B4965"/>
        </w:rPr>
        <w:t xml:space="preserve">4        </w:t>
      </w:r>
      <w:r>
        <w:t>Límites de esta versión</w:t>
      </w:r>
    </w:p>
    <w:p>
      <w:pPr>
        <w:spacing w:after="20"/>
        <w:ind w:left="340"/>
      </w:pPr>
      <w:r>
        <w:rPr>
          <w:b/>
          <w:color w:val="1B4965"/>
        </w:rPr>
        <w:t xml:space="preserve">5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el primer ciclo de educación infantil (0-3 años), en gallego y castellano, que funciona entero sin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val="0"/>
                <w:i w:val="0"/>
                <w:sz w:val="19"/>
              </w:rPr>
              <w:t xml:space="preserve">Gallego y castellano, conmutables en cualquier pantalla con el selector </w:t>
            </w:r>
            <w:r>
              <w:rPr>
                <w:b/>
                <w:i w:val="0"/>
                <w:sz w:val="19"/>
              </w:rPr>
              <w:t>GL / ES</w:t>
            </w:r>
            <w:r>
              <w:rPr>
                <w:b w:val="0"/>
                <w:i w:val="0"/>
                <w:sz w:val="19"/>
              </w:rPr>
              <w:t xml:space="preserve"> de la barra superior</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5" name="Picture 5"/>
                  <wp:cNvGraphicFramePr>
                    <a:graphicFrameLocks noChangeAspect="1"/>
                  </wp:cNvGraphicFramePr>
                  <a:graphic>
                    <a:graphicData uri="http://schemas.openxmlformats.org/drawingml/2006/picture">
                      <pic:pic>
                        <pic:nvPicPr>
                          <pic:cNvPr id="0" name="aula-formacion-gl.png"/>
                          <pic:cNvPicPr/>
                        </pic:nvPicPr>
                        <pic:blipFill>
                          <a:blip r:embed="rId13"/>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6" name="Picture 6"/>
                  <wp:cNvGraphicFramePr>
                    <a:graphicFrameLocks noChangeAspect="1"/>
                  </wp:cNvGraphicFramePr>
                  <a:graphic>
                    <a:graphicData uri="http://schemas.openxmlformats.org/drawingml/2006/picture">
                      <pic:pic>
                        <pic:nvPicPr>
                          <pic:cNvPr id="0" name="aula-formacion-es.png"/>
                          <pic:cNvPicPr/>
                        </pic:nvPicPr>
                        <pic:blipFill>
                          <a:blip r:embed="rId14"/>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7" name="Picture 7"/>
                  <wp:cNvGraphicFramePr>
                    <a:graphicFrameLocks noChangeAspect="1"/>
                  </wp:cNvGraphicFramePr>
                  <a:graphic>
                    <a:graphicData uri="http://schemas.openxmlformats.org/drawingml/2006/picture">
                      <pic:pic>
                        <pic:nvPicPr>
                          <pic:cNvPr id="0" name="academy-bloques-gl.png"/>
                          <pic:cNvPicPr/>
                        </pic:nvPicPr>
                        <pic:blipFill>
                          <a:blip r:embed="rId15"/>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8" name="Picture 8"/>
                  <wp:cNvGraphicFramePr>
                    <a:graphicFrameLocks noChangeAspect="1"/>
                  </wp:cNvGraphicFramePr>
                  <a:graphic>
                    <a:graphicData uri="http://schemas.openxmlformats.org/drawingml/2006/picture">
                      <pic:pic>
                        <pic:nvPicPr>
                          <pic:cNvPr id="0" name="academy-bloques-es.png"/>
                          <pic:cNvPicPr/>
                        </pic:nvPicPr>
                        <pic:blipFill>
                          <a:blip r:embed="rId16"/>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9" name="Picture 9"/>
                  <wp:cNvGraphicFramePr>
                    <a:graphicFrameLocks noChangeAspect="1"/>
                  </wp:cNvGraphicFramePr>
                  <a:graphic>
                    <a:graphicData uri="http://schemas.openxmlformats.org/drawingml/2006/picture">
                      <pic:pic>
                        <pic:nvPicPr>
                          <pic:cNvPr id="0" name="academy-lector-gl.png"/>
                          <pic:cNvPicPr/>
                        </pic:nvPicPr>
                        <pic:blipFill>
                          <a:blip r:embed="rId17"/>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10" name="Picture 10"/>
                  <wp:cNvGraphicFramePr>
                    <a:graphicFrameLocks noChangeAspect="1"/>
                  </wp:cNvGraphicFramePr>
                  <a:graphic>
                    <a:graphicData uri="http://schemas.openxmlformats.org/drawingml/2006/picture">
                      <pic:pic>
                        <pic:nvPicPr>
                          <pic:cNvPr id="0" name="academy-lector-es.png"/>
                          <pic:cNvPicPr/>
                        </pic:nvPicPr>
                        <pic:blipFill>
                          <a:blip r:embed="rId18"/>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9506796"/>
                  <wp:docPr id="11" name="Picture 11"/>
                  <wp:cNvGraphicFramePr>
                    <a:graphicFrameLocks noChangeAspect="1"/>
                  </wp:cNvGraphicFramePr>
                  <a:graphic>
                    <a:graphicData uri="http://schemas.openxmlformats.org/drawingml/2006/picture">
                      <pic:pic>
                        <pic:nvPicPr>
                          <pic:cNvPr id="0" name="premios-gl.png"/>
                          <pic:cNvPicPr/>
                        </pic:nvPicPr>
                        <pic:blipFill>
                          <a:blip r:embed="rId19"/>
                          <a:stretch>
                            <a:fillRect/>
                          </a:stretch>
                        </pic:blipFill>
                        <pic:spPr>
                          <a:xfrm>
                            <a:off x="0" y="0"/>
                            <a:ext cx="2304000" cy="9506796"/>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9506796"/>
                  <wp:docPr id="12" name="Picture 12"/>
                  <wp:cNvGraphicFramePr>
                    <a:graphicFrameLocks noChangeAspect="1"/>
                  </wp:cNvGraphicFramePr>
                  <a:graphic>
                    <a:graphicData uri="http://schemas.openxmlformats.org/drawingml/2006/picture">
                      <pic:pic>
                        <pic:nvPicPr>
                          <pic:cNvPr id="0" name="premios-es.png"/>
                          <pic:cNvPicPr/>
                        </pic:nvPicPr>
                        <pic:blipFill>
                          <a:blip r:embed="rId20"/>
                          <a:stretch>
                            <a:fillRect/>
                          </a:stretch>
                        </pic:blipFill>
                        <pic:spPr>
                          <a:xfrm>
                            <a:off x="0" y="0"/>
                            <a:ext cx="2304000" cy="9506796"/>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3" name="Picture 13"/>
                  <wp:cNvGraphicFramePr>
                    <a:graphicFrameLocks noChangeAspect="1"/>
                  </wp:cNvGraphicFramePr>
                  <a:graphic>
                    <a:graphicData uri="http://schemas.openxmlformats.org/drawingml/2006/picture">
                      <pic:pic>
                        <pic:nvPicPr>
                          <pic:cNvPr id="0" name="creditos-gl.png"/>
                          <pic:cNvPicPr/>
                        </pic:nvPicPr>
                        <pic:blipFill>
                          <a:blip r:embed="rId21"/>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14" name="Picture 14"/>
                  <wp:cNvGraphicFramePr>
                    <a:graphicFrameLocks noChangeAspect="1"/>
                  </wp:cNvGraphicFramePr>
                  <a:graphic>
                    <a:graphicData uri="http://schemas.openxmlformats.org/drawingml/2006/picture">
                      <pic:pic>
                        <pic:nvPicPr>
                          <pic:cNvPr id="0" name="creditos-es.png"/>
                          <pic:cNvPicPr/>
                        </pic:nvPicPr>
                        <pic:blipFill>
                          <a:blip r:embed="rId22"/>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CU-6</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CU-7</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p>
      <w:r>
        <w:br w:type="page"/>
      </w:r>
    </w:p>
    <w:p>
      <w:pPr>
        <w:spacing w:after="20"/>
      </w:pPr>
      <w:r>
        <w:rPr>
          <w:b/>
          <w:i w:val="0"/>
          <w:color w:val="1B4965"/>
          <w:sz w:val="17"/>
        </w:rPr>
        <w:t>CASOS DE USO</w:t>
      </w:r>
    </w:p>
    <w:p>
      <w:pPr>
        <w:pStyle w:val="Heading1"/>
      </w:pPr>
      <w:r>
        <w:t>Mantenimiento · Equipo del proyecto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CU-13</w:t>
            </w:r>
          </w:p>
          <w:p>
            <w:pPr>
              <w:spacing w:after="0"/>
            </w:pPr>
            <w:r>
              <w:rPr>
                <w:b/>
                <w:i w:val="0"/>
                <w:color w:val="FFFFFF"/>
                <w:sz w:val="26"/>
              </w:rPr>
              <w:t>Añadir una unidad o una cápsula</w:t>
            </w:r>
          </w:p>
        </w:tc>
      </w:tr>
    </w:tbl>
    <w:p>
      <w:pPr>
        <w:spacing w:after="40"/>
      </w:pPr>
    </w:p>
    <w:p>
      <w:pPr>
        <w:pStyle w:val="ListNumber"/>
        <w:spacing w:after="40"/>
      </w:pPr>
      <w:r>
        <w:rPr>
          <w:b w:val="0"/>
          <w:i w:val="0"/>
        </w:rPr>
        <w:t xml:space="preserve">Crea el JSON en </w:t>
      </w:r>
      <w:r>
        <w:rPr>
          <w:rFonts w:ascii="Consolas" w:hAnsi="Consolas"/>
          <w:b w:val="0"/>
          <w:i w:val="0"/>
        </w:rPr>
        <w:t>assets/content/unidades/</w:t>
      </w:r>
      <w:r>
        <w:rPr>
          <w:b w:val="0"/>
          <w:i w:val="0"/>
        </w:rPr>
        <w:t xml:space="preserve"> o </w:t>
      </w:r>
      <w:r>
        <w:rPr>
          <w:rFonts w:ascii="Consolas" w:hAnsi="Consolas"/>
          <w:b w:val="0"/>
          <w:i w:val="0"/>
        </w:rPr>
        <w:t>assets/content/capsulas/</w:t>
      </w:r>
      <w:r>
        <w:rPr>
          <w:b w:val="0"/>
          <w:i w:val="0"/>
        </w:rPr>
        <w:t>, con las dos lenguas completas.</w:t>
      </w:r>
    </w:p>
    <w:p>
      <w:pPr>
        <w:pStyle w:val="ListNumber"/>
        <w:spacing w:after="40"/>
      </w:pPr>
      <w:r>
        <w:rPr>
          <w:rFonts w:ascii="Consolas" w:hAnsi="Consolas"/>
          <w:b w:val="0"/>
          <w:i w:val="0"/>
        </w:rPr>
        <w:t>python3 tools/export_voice_corpus.py</w:t>
      </w:r>
      <w:r>
        <w:rPr>
          <w:b w:val="0"/>
          <w:i w:val="0"/>
        </w:rPr>
        <w:t xml:space="preserve"> extrae las locuciones nuevas y sincroniza las rutas de audio.</w:t>
      </w:r>
    </w:p>
    <w:p>
      <w:pPr>
        <w:pStyle w:val="ListNumber"/>
        <w:spacing w:after="40"/>
      </w:pPr>
      <w:r>
        <w:rPr>
          <w:b w:val="0"/>
          <w:i w:val="0"/>
        </w:rPr>
        <w:t xml:space="preserve">Lanza el workflow </w:t>
      </w:r>
      <w:r>
        <w:rPr>
          <w:b/>
          <w:i w:val="0"/>
        </w:rPr>
        <w:t>Generate Voice Assets</w:t>
      </w:r>
      <w:r>
        <w:rPr>
          <w:b w:val="0"/>
          <w:i w:val="0"/>
        </w:rPr>
        <w:t xml:space="preserve"> para sintetizarlas.</w:t>
      </w:r>
    </w:p>
    <w:p>
      <w:pPr>
        <w:pStyle w:val="ListNumber"/>
        <w:spacing w:after="40"/>
      </w:pPr>
      <w:r>
        <w:rPr>
          <w:rFonts w:ascii="Consolas" w:hAnsi="Consolas"/>
          <w:b w:val="0"/>
          <w:i w:val="0"/>
        </w:rPr>
        <w:t>tools/gates.sh</w:t>
      </w:r>
      <w:r>
        <w:rPr>
          <w:b w:val="0"/>
          <w:i w:val="0"/>
        </w:rPr>
        <w:t>.</w:t>
      </w:r>
    </w:p>
    <w:p>
      <w:pPr>
        <w:spacing w:after="120"/>
      </w:pPr>
      <w:r>
        <w:rPr>
          <w:b w:val="0"/>
          <w:i w:val="0"/>
          <w:color w:val="6B7280"/>
          <w:sz w:val="18"/>
        </w:rPr>
        <w:t>No hay que tocar Dart: el catálogo se descubre del propio paquete.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CU-14</w:t>
            </w:r>
          </w:p>
          <w:p>
            <w:pPr>
              <w:spacing w:after="0"/>
            </w:pPr>
            <w:r>
              <w:rPr>
                <w:b/>
                <w:i w:val="0"/>
                <w:color w:val="FFFFFF"/>
                <w:sz w:val="26"/>
              </w:rPr>
              <w:t>Cambiar un texto que tiene audio</w:t>
            </w:r>
          </w:p>
        </w:tc>
      </w:tr>
    </w:tbl>
    <w:p>
      <w:pPr>
        <w:spacing w:after="4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Esto es lo que más fácil se rompe, y está resuelto por construcción</w:t>
            </w:r>
          </w:p>
          <w:p>
            <w:pPr>
              <w:spacing w:after="40"/>
            </w:pPr>
            <w:r>
              <w:rPr>
                <w:b w:val="0"/>
                <w:i w:val="0"/>
                <w:sz w:val="20"/>
              </w:rPr>
              <w:t>El identificador de cada grabación es el hash de su propio texto.</w:t>
            </w:r>
          </w:p>
        </w:tc>
      </w:tr>
    </w:tbl>
    <w:p>
      <w:pPr>
        <w:spacing w:after="80"/>
      </w:pPr>
    </w:p>
    <w:p>
      <w:pPr>
        <w:spacing w:after="120"/>
      </w:pPr>
      <w:r>
        <w:rPr>
          <w:b w:val="0"/>
          <w:i w:val="0"/>
        </w:rPr>
        <w:t>Si cambias una frase:</w:t>
      </w:r>
    </w:p>
    <w:p>
      <w:pPr>
        <w:pStyle w:val="ListNumber"/>
        <w:spacing w:after="40"/>
      </w:pPr>
      <w:r>
        <w:rPr>
          <w:b w:val="0"/>
          <w:i w:val="0"/>
        </w:rPr>
        <w:t>Cambia el identificador.</w:t>
      </w:r>
    </w:p>
    <w:p>
      <w:pPr>
        <w:pStyle w:val="ListNumber"/>
        <w:spacing w:after="40"/>
      </w:pPr>
      <w:r>
        <w:rPr>
          <w:b w:val="0"/>
          <w:i w:val="0"/>
        </w:rPr>
        <w:t>La grabación vieja queda huérfana y la nueva no existe.</w:t>
      </w:r>
    </w:p>
    <w:p>
      <w:pPr>
        <w:pStyle w:val="ListNumber"/>
        <w:spacing w:after="40"/>
      </w:pPr>
      <w:r>
        <w:rPr>
          <w:rFonts w:ascii="Consolas" w:hAnsi="Consolas"/>
          <w:b w:val="0"/>
          <w:i w:val="0"/>
        </w:rPr>
        <w:t>tools/check_voice_coverage.py</w:t>
      </w:r>
      <w:r>
        <w:rPr>
          <w:b w:val="0"/>
          <w:i w:val="0"/>
        </w:rPr>
        <w:t xml:space="preserve"> falla y dice exactamente cuál falta.</w:t>
      </w:r>
    </w:p>
    <w:p>
      <w:pPr>
        <w:spacing w:after="120"/>
      </w:pPr>
      <w:r>
        <w:rPr>
          <w:b w:val="0"/>
          <w:i w:val="0"/>
        </w:rPr>
        <w:t>No se puede publicar una pantalla que enseñe un texto y reproduzca otro.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CU-15</w:t>
            </w:r>
          </w:p>
          <w:p>
            <w:pPr>
              <w:spacing w:after="0"/>
            </w:pPr>
            <w:r>
              <w:rPr>
                <w:b/>
                <w:i w:val="0"/>
                <w:color w:val="FFFFFF"/>
                <w:sz w:val="26"/>
              </w:rPr>
              <w:t>Regenerar las voces</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8F4F8"/>
          </w:tcPr>
          <w:p>
            <w:pPr>
              <w:spacing w:after="40"/>
            </w:pPr>
            <w:r>
              <w:rPr>
                <w:b/>
                <w:i w:val="0"/>
                <w:color w:val="1B4965"/>
                <w:sz w:val="19"/>
              </w:rPr>
              <w:t>Lengua</w:t>
            </w:r>
          </w:p>
        </w:tc>
        <w:tc>
          <w:tcPr>
            <w:tcW w:type="dxa" w:w="3213"/>
            <w:shd w:val="clear" w:fill="E8F4F8"/>
          </w:tcPr>
          <w:p>
            <w:pPr>
              <w:spacing w:after="40"/>
            </w:pPr>
            <w:r>
              <w:rPr>
                <w:b/>
                <w:i w:val="0"/>
                <w:color w:val="1B4965"/>
                <w:sz w:val="19"/>
              </w:rPr>
              <w:t>Voz</w:t>
            </w:r>
          </w:p>
        </w:tc>
        <w:tc>
          <w:tcPr>
            <w:tcW w:type="dxa" w:w="3213"/>
            <w:shd w:val="clear" w:fill="E8F4F8"/>
          </w:tcPr>
          <w:p>
            <w:pPr>
              <w:spacing w:after="40"/>
            </w:pPr>
            <w:r>
              <w:rPr>
                <w:b/>
                <w:i w:val="0"/>
                <w:color w:val="1B4965"/>
                <w:sz w:val="19"/>
              </w:rPr>
              <w:t>Requisito</w:t>
            </w:r>
          </w:p>
        </w:tc>
      </w:tr>
      <w:tr>
        <w:tc>
          <w:tcPr>
            <w:tcW w:type="dxa" w:w="3213"/>
          </w:tcPr>
          <w:p>
            <w:pPr>
              <w:spacing w:after="40"/>
            </w:pPr>
            <w:r>
              <w:rPr>
                <w:b w:val="0"/>
                <w:i w:val="0"/>
                <w:sz w:val="19"/>
              </w:rPr>
              <w:t>Gallego</w:t>
            </w:r>
          </w:p>
        </w:tc>
        <w:tc>
          <w:tcPr>
            <w:tcW w:type="dxa" w:w="3213"/>
          </w:tcPr>
          <w:p>
            <w:pPr>
              <w:spacing w:after="40"/>
            </w:pPr>
            <w:r>
              <w:rPr>
                <w:b/>
                <w:i w:val="0"/>
                <w:sz w:val="19"/>
              </w:rPr>
              <w:t>Celtia</w:t>
            </w:r>
            <w:r>
              <w:rPr>
                <w:b w:val="0"/>
                <w:i w:val="0"/>
                <w:sz w:val="19"/>
              </w:rPr>
              <w:t>, do Proxecto Nós</w:t>
            </w:r>
          </w:p>
        </w:tc>
        <w:tc>
          <w:tcPr>
            <w:tcW w:type="dxa" w:w="3213"/>
          </w:tcPr>
          <w:p>
            <w:pPr>
              <w:spacing w:after="40"/>
            </w:pPr>
            <w:r>
              <w:rPr>
                <w:b w:val="0"/>
                <w:i w:val="0"/>
                <w:sz w:val="19"/>
              </w:rPr>
              <w:t xml:space="preserve">Secret </w:t>
            </w:r>
            <w:r>
              <w:rPr>
                <w:rFonts w:ascii="Consolas" w:hAnsi="Consolas"/>
                <w:b w:val="0"/>
                <w:i w:val="0"/>
                <w:sz w:val="19"/>
              </w:rPr>
              <w:t>HF_TOKEN</w:t>
            </w:r>
            <w:r>
              <w:rPr>
                <w:b w:val="0"/>
                <w:i w:val="0"/>
                <w:sz w:val="19"/>
              </w:rPr>
              <w:t xml:space="preserve"> (el modelo es </w:t>
            </w:r>
            <w:r>
              <w:rPr>
                <w:b w:val="0"/>
                <w:i/>
                <w:sz w:val="19"/>
              </w:rPr>
              <w:t>gated</w:t>
            </w:r>
            <w:r>
              <w:rPr>
                <w:b w:val="0"/>
                <w:i w:val="0"/>
                <w:sz w:val="19"/>
              </w:rPr>
              <w:t xml:space="preserve"> en Hugging Face)</w:t>
            </w:r>
          </w:p>
        </w:tc>
      </w:tr>
      <w:tr>
        <w:tc>
          <w:tcPr>
            <w:tcW w:type="dxa" w:w="3213"/>
            <w:shd w:val="clear" w:fill="F9FBFC"/>
          </w:tcPr>
          <w:p>
            <w:pPr>
              <w:spacing w:after="40"/>
            </w:pPr>
            <w:r>
              <w:rPr>
                <w:b w:val="0"/>
                <w:i w:val="0"/>
                <w:sz w:val="19"/>
              </w:rPr>
              <w:t>Castellano</w:t>
            </w:r>
          </w:p>
        </w:tc>
        <w:tc>
          <w:tcPr>
            <w:tcW w:type="dxa" w:w="3213"/>
            <w:shd w:val="clear" w:fill="F9FBFC"/>
          </w:tcPr>
          <w:p>
            <w:pPr>
              <w:spacing w:after="40"/>
            </w:pPr>
            <w:r>
              <w:rPr>
                <w:b/>
                <w:i w:val="0"/>
                <w:sz w:val="19"/>
              </w:rPr>
              <w:t>Sharvard</w:t>
            </w:r>
            <w:r>
              <w:rPr>
                <w:b w:val="0"/>
                <w:i w:val="0"/>
                <w:sz w:val="19"/>
              </w:rPr>
              <w:t xml:space="preserve"> (rhasspy/piper-voices)</w:t>
            </w:r>
          </w:p>
        </w:tc>
        <w:tc>
          <w:tcPr>
            <w:tcW w:type="dxa" w:w="3213"/>
            <w:shd w:val="clear" w:fill="F9FBFC"/>
          </w:tcPr>
          <w:p>
            <w:pPr>
              <w:spacing w:after="40"/>
            </w:pPr>
            <w:r>
              <w:rPr>
                <w:b w:val="0"/>
                <w:i w:val="0"/>
                <w:sz w:val="19"/>
              </w:rPr>
              <w:t>Ninguno</w:t>
            </w:r>
          </w:p>
        </w:tc>
      </w:tr>
    </w:tbl>
    <w:p>
      <w:pPr>
        <w:spacing w:after="80"/>
      </w:pPr>
    </w:p>
    <w:p>
      <w:pPr>
        <w:spacing w:after="120"/>
      </w:pPr>
      <w:r>
        <w:rPr>
          <w:b w:val="0"/>
          <w:i w:val="0"/>
        </w:rPr>
        <w:t xml:space="preserve">Lanza el workflow </w:t>
      </w:r>
      <w:r>
        <w:rPr>
          <w:b/>
          <w:i w:val="0"/>
        </w:rPr>
        <w:t>Generate Voice Assets</w:t>
      </w:r>
      <w:r>
        <w:rPr>
          <w:b w:val="0"/>
          <w:i w:val="0"/>
        </w:rPr>
        <w:t xml:space="preserve">. Sintetiza sólo lo que falta, masteriza con objetivo de −3 dBFS, comprueba el pico del fichero </w:t>
      </w:r>
      <w:r>
        <w:rPr>
          <w:b w:val="0"/>
          <w:i/>
        </w:rPr>
        <w:t>ya codificado</w:t>
      </w:r>
      <w:r>
        <w:rPr>
          <w:b w:val="0"/>
          <w:i w:val="0"/>
        </w:rPr>
        <w:t xml:space="preserve"> y atenúa si hace falta, y commitea los </w:t>
      </w:r>
      <w:r>
        <w:rPr>
          <w:rFonts w:ascii="Consolas" w:hAnsi="Consolas"/>
          <w:b w:val="0"/>
          <w:i w:val="0"/>
        </w:rPr>
        <w:t>.m4a</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objetivo previo no basta</w:t>
            </w:r>
          </w:p>
          <w:p>
            <w:pPr>
              <w:spacing w:after="40"/>
            </w:pPr>
            <w:r>
              <w:rPr>
                <w:b w:val="0"/>
                <w:i w:val="0"/>
                <w:sz w:val="20"/>
              </w:rPr>
              <w:t xml:space="preserve">Un códec con pérdida no conserva el pico que se le entrega. Un recitado masterizado a −3 dBFS salió del codificador a −0,0, sin margen ninguno. </w:t>
            </w:r>
            <w:r>
              <w:rPr>
                <w:rFonts w:ascii="Consolas" w:hAnsi="Consolas"/>
                <w:b w:val="0"/>
                <w:i w:val="0"/>
                <w:sz w:val="20"/>
              </w:rPr>
              <w:t>tools/check_voice_levels.py</w:t>
            </w:r>
            <w:r>
              <w:rPr>
                <w:b w:val="0"/>
                <w:i w:val="0"/>
                <w:sz w:val="20"/>
              </w:rPr>
              <w:t xml:space="preserve"> mide los ficheros que se publican.</w:t>
            </w:r>
          </w:p>
        </w:tc>
      </w:tr>
    </w:tbl>
    <w:p>
      <w:pPr>
        <w:spacing w:after="80"/>
      </w:pPr>
    </w:p>
    <w:p>
      <w:pPr>
        <w:spacing w:after="120"/>
      </w:pPr>
      <w:r>
        <w:rPr>
          <w:b w:val="0"/>
          <w:i w:val="0"/>
          <w:color w:val="6B7280"/>
          <w:sz w:val="18"/>
        </w:rPr>
        <w:t>Los modelos corren en CI y jamás en el aparato: la app lleva grabaciones, no inferencia. Por eso el APK no necesita ni un permiso de red.</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CU-16</w:t>
            </w:r>
          </w:p>
          <w:p>
            <w:pPr>
              <w:spacing w:after="0"/>
            </w:pPr>
            <w:r>
              <w:rPr>
                <w:b/>
                <w:i w:val="0"/>
                <w:color w:val="FFFFFF"/>
                <w:sz w:val="26"/>
              </w:rPr>
              <w:t>Comprobar antes de entregar</w:t>
            </w:r>
          </w:p>
        </w:tc>
      </w:tr>
    </w:tbl>
    <w:p>
      <w:pPr>
        <w:spacing w:after="40"/>
      </w:pPr>
    </w:p>
    <w:p>
      <w:pPr>
        <w:spacing w:after="120"/>
      </w:pPr>
      <w:r>
        <w:rPr>
          <w:rFonts w:ascii="Consolas" w:hAnsi="Consolas"/>
          <w:b w:val="0"/>
          <w:i w:val="0"/>
        </w:rPr>
        <w:t>tools/gates.sh --fast</w:t>
      </w:r>
      <w:r>
        <w:rPr>
          <w:b w:val="0"/>
          <w:i w:val="0"/>
        </w:rPr>
        <w:t xml:space="preserve"> pasa formato, análisis, tests y los gates de contenido. </w:t>
      </w:r>
      <w:r>
        <w:rPr>
          <w:rFonts w:ascii="Consolas" w:hAnsi="Consolas"/>
          <w:b w:val="0"/>
          <w:i w:val="0"/>
        </w:rPr>
        <w:t>tools/gates.sh</w:t>
      </w:r>
      <w:r>
        <w:rPr>
          <w:b w:val="0"/>
          <w:i w:val="0"/>
        </w:rPr>
        <w:t xml:space="preserve"> añade la compilación del APK y la auditoría de sus permisos.</w:t>
      </w:r>
    </w:p>
    <w:p>
      <w:pPr>
        <w:spacing w:after="120"/>
      </w:pPr>
      <w:r>
        <w:rPr>
          <w:b w:val="0"/>
          <w:i w:val="0"/>
        </w:rPr>
        <w:t xml:space="preserve">CI ejecuta ese mismo script, así que la lista de gates no puede quedarse atrás respecto a lo que de verdad se exige. El estado real de cada uno está en </w:t>
      </w:r>
      <w:r>
        <w:rPr>
          <w:rFonts w:ascii="Consolas" w:hAnsi="Consolas"/>
          <w:b w:val="0"/>
          <w:i w:val="0"/>
        </w:rPr>
        <w:t>STATUS.md</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CU-17</w:t>
            </w:r>
          </w:p>
          <w:p>
            <w:pPr>
              <w:spacing w:after="0"/>
            </w:pPr>
            <w:r>
              <w:rPr>
                <w:b/>
                <w:i w:val="0"/>
                <w:color w:val="FFFFFF"/>
                <w:sz w:val="26"/>
              </w:rPr>
              <w:t>Auditar la privacidad del binario</w:t>
            </w:r>
          </w:p>
        </w:tc>
      </w:tr>
    </w:tbl>
    <w:p>
      <w:pPr>
        <w:spacing w:after="40"/>
      </w:pPr>
    </w:p>
    <w:p>
      <w:pPr>
        <w:pStyle w:val="ListNumber"/>
        <w:spacing w:after="40"/>
      </w:pPr>
      <w:r>
        <w:rPr>
          <w:rFonts w:ascii="Consolas" w:hAnsi="Consolas"/>
          <w:b w:val="0"/>
          <w:i w:val="0"/>
        </w:rPr>
        <w:t>flutter build apk --release</w:t>
      </w:r>
    </w:p>
    <w:p>
      <w:pPr>
        <w:pStyle w:val="ListNumber"/>
        <w:spacing w:after="40"/>
      </w:pPr>
      <w:r>
        <w:rPr>
          <w:rFonts w:ascii="Consolas" w:hAnsi="Consolas"/>
          <w:b w:val="0"/>
          <w:i w:val="0"/>
        </w:rPr>
        <w:t>aapt2 dump permissions build/app/outputs/flutter-apk/app-release.apk</w:t>
      </w:r>
    </w:p>
    <w:p>
      <w:pPr>
        <w:spacing w:after="120"/>
      </w:pPr>
      <w:r>
        <w:rPr>
          <w:b w:val="0"/>
          <w:i w:val="0"/>
        </w:rPr>
        <w:t xml:space="preserve">Debe aparecer </w:t>
      </w:r>
      <w:r>
        <w:rPr>
          <w:b/>
          <w:i w:val="0"/>
        </w:rPr>
        <w:t>un único permiso</w:t>
      </w:r>
      <w:r>
        <w:rPr>
          <w:b w:val="0"/>
          <w:i w:val="0"/>
        </w:rPr>
        <w:t>, el que AndroidX inyecta (</w:t>
      </w:r>
      <w:r>
        <w:rPr>
          <w:rFonts w:ascii="Consolas" w:hAnsi="Consolas"/>
          <w:b w:val="0"/>
          <w:i w:val="0"/>
        </w:rPr>
        <w:t>…DYNAMIC_RECEIVER_NOT_EXPORTED_PERMISSION</w:t>
      </w:r>
      <w:r>
        <w:rPr>
          <w:b w:val="0"/>
          <w:i w:val="0"/>
        </w:rPr>
        <w:t xml:space="preserve">, de nivel </w:t>
      </w:r>
      <w:r>
        <w:rPr>
          <w:b w:val="0"/>
          <w:i/>
        </w:rPr>
        <w:t>signature</w:t>
      </w:r>
      <w:r>
        <w:rPr>
          <w:b w:val="0"/>
          <w:i w:val="0"/>
        </w:rPr>
        <w:t xml:space="preserve"> y con el nombre de paquete de la propia app). Cualquier otro, y en especial </w:t>
      </w:r>
      <w:r>
        <w:rPr>
          <w:rFonts w:ascii="Consolas" w:hAnsi="Consolas"/>
          <w:b w:val="0"/>
          <w:i w:val="0"/>
        </w:rPr>
        <w:t>android.permission.INTERNET</w:t>
      </w:r>
      <w:r>
        <w:rPr>
          <w:b w:val="0"/>
          <w:i w:val="0"/>
        </w:rPr>
        <w:t>, es un fallo bloqueante.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se lee del binario y no del manifiesto</w:t>
            </w:r>
          </w:p>
          <w:p>
            <w:pPr>
              <w:spacing w:after="40"/>
            </w:pPr>
            <w:r>
              <w:rPr>
                <w:b w:val="0"/>
                <w:i w:val="0"/>
                <w:sz w:val="20"/>
              </w:rPr>
              <w:t xml:space="preserve">Esa salida es la prueba que sostiene la política de privacidad y el formulario de </w:t>
            </w:r>
            <w:r>
              <w:rPr>
                <w:b w:val="0"/>
                <w:i/>
                <w:sz w:val="20"/>
              </w:rPr>
              <w:t>Seguridad de los datos</w:t>
            </w:r>
            <w:r>
              <w:rPr>
                <w:b w:val="0"/>
                <w:i w:val="0"/>
                <w:sz w:val="20"/>
              </w:rPr>
              <w:t xml:space="preserve"> de Google Play. Un manifiesto fuente que quita INTERNET no demuestra nada por sí solo: una dependencia fusionada puede devolverlo.</w:t>
            </w:r>
          </w:p>
        </w:tc>
      </w:tr>
    </w:tbl>
    <w:p>
      <w:pPr>
        <w:spacing w:after="80"/>
      </w:pPr>
    </w:p>
    <w:p>
      <w:r>
        <w:br w:type="page"/>
      </w:r>
    </w:p>
    <w:p>
      <w:pPr>
        <w:spacing w:after="20"/>
      </w:pPr>
      <w:r>
        <w:rPr>
          <w:b/>
          <w:i w:val="0"/>
          <w:color w:val="1B4965"/>
          <w:sz w:val="17"/>
        </w:rPr>
        <w:t>CIERRE</w:t>
      </w:r>
    </w:p>
    <w:p>
      <w:pPr>
        <w:pStyle w:val="Heading1"/>
      </w:pPr>
      <w:r>
        <w:t>4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w:t>
            </w:r>
          </w:p>
        </w:tc>
        <w:tc>
          <w:tcPr>
            <w:tcW w:type="dxa" w:w="4819"/>
          </w:tcPr>
          <w:p>
            <w:pPr>
              <w:spacing w:after="40"/>
            </w:pPr>
            <w:r>
              <w:rPr>
                <w:b w:val="0"/>
                <w:i w:val="0"/>
                <w:sz w:val="19"/>
              </w:rPr>
              <w:t>Una unidad de aula. Academy tiene una cápsula en cada uno de sus cinco bloques, y la formación docente una en cada uno de sus seis pasos</w:t>
            </w:r>
          </w:p>
        </w:tc>
      </w:tr>
      <w:tr>
        <w:tc>
          <w:tcPr>
            <w:tcW w:type="dxa" w:w="4819"/>
            <w:shd w:val="clear" w:fill="F9FBFC"/>
          </w:tcPr>
          <w:p>
            <w:pPr>
              <w:spacing w:after="40"/>
            </w:pPr>
            <w:r>
              <w:rPr>
                <w:b/>
                <w:i w:val="0"/>
                <w:sz w:val="19"/>
              </w:rPr>
              <w:t>Ilustraciones</w:t>
            </w:r>
          </w:p>
        </w:tc>
        <w:tc>
          <w:tcPr>
            <w:tcW w:type="dxa" w:w="4819"/>
            <w:shd w:val="clear" w:fill="F9FBFC"/>
          </w:tcPr>
          <w:p>
            <w:pPr>
              <w:spacing w:after="40"/>
            </w:pPr>
            <w:r>
              <w:rPr>
                <w:b w:val="0"/>
                <w:i w:val="0"/>
                <w:sz w:val="19"/>
              </w:rPr>
              <w:t>El cuento no lleva láminas. La pantalla lo indica y sugiere señalar en el aula</w:t>
            </w:r>
          </w:p>
        </w:tc>
      </w:tr>
      <w:tr>
        <w:tc>
          <w:tcPr>
            <w:tcW w:type="dxa" w:w="4819"/>
          </w:tcPr>
          <w:p>
            <w:pPr>
              <w:spacing w:after="40"/>
            </w:pPr>
            <w:r>
              <w:rPr>
                <w:b/>
                <w:i w:val="0"/>
                <w:sz w:val="19"/>
              </w:rPr>
              <w:t>Grabaciones</w:t>
            </w:r>
          </w:p>
        </w:tc>
        <w:tc>
          <w:tcPr>
            <w:tcW w:type="dxa" w:w="4819"/>
          </w:tcPr>
          <w:p>
            <w:pPr>
              <w:spacing w:after="40"/>
            </w:pPr>
            <w:r>
              <w:rPr>
                <w:b w:val="0"/>
                <w:i w:val="0"/>
                <w:sz w:val="19"/>
              </w:rPr>
              <w:t>Completas: las 246 locuciones que el contenido declara viajan dentro del paquete. Si alguna faltase, el botón de escuchar no se pinta</w:t>
            </w:r>
          </w:p>
        </w:tc>
      </w:tr>
      <w:tr>
        <w:tc>
          <w:tcPr>
            <w:tcW w:type="dxa" w:w="4819"/>
            <w:shd w:val="clear" w:fill="F9FBFC"/>
          </w:tcPr>
          <w:p>
            <w:pPr>
              <w:spacing w:after="40"/>
            </w:pPr>
            <w:r>
              <w:rPr>
                <w:b/>
                <w:i w:val="0"/>
                <w:sz w:val="19"/>
              </w:rPr>
              <w:t>Vocabulario</w:t>
            </w:r>
          </w:p>
        </w:tc>
        <w:tc>
          <w:tcPr>
            <w:tcW w:type="dxa" w:w="4819"/>
            <w:shd w:val="clear" w:fill="F9FBFC"/>
          </w:tcPr>
          <w:p>
            <w:pPr>
              <w:spacing w:after="40"/>
            </w:pPr>
            <w:r>
              <w:rPr>
                <w:b w:val="0"/>
                <w:i w:val="0"/>
                <w:sz w:val="19"/>
              </w:rPr>
              <w:t>El contenido declara cinco palabras por unidad, con definición y grabación, pero todavía no hay ninguna pantalla que las muestre</w:t>
            </w:r>
          </w:p>
        </w:tc>
      </w:tr>
      <w:tr>
        <w:tc>
          <w:tcPr>
            <w:tcW w:type="dxa" w:w="4819"/>
          </w:tcPr>
          <w:p>
            <w:pPr>
              <w:spacing w:after="40"/>
            </w:pPr>
            <w:r>
              <w:rPr>
                <w:b/>
                <w:i w:val="0"/>
                <w:sz w:val="19"/>
              </w:rPr>
              <w:t>Logotipos</w:t>
            </w:r>
          </w:p>
        </w:tc>
        <w:tc>
          <w:tcPr>
            <w:tcW w:type="dxa" w:w="4819"/>
          </w:tcPr>
          <w:p>
            <w:pPr>
              <w:spacing w:after="40"/>
            </w:pPr>
            <w:r>
              <w:rPr>
                <w:b w:val="0"/>
                <w:i w:val="0"/>
                <w:sz w:val="19"/>
              </w:rPr>
              <w:t>En los créditos falta el logotipo de la Incubadora startTIC, del Consorcio de la Zona Franca y del Concello. Los nombres sí constan</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La única unidad es </w:t>
            </w:r>
            <w:r>
              <w:rPr>
                <w:rFonts w:ascii="Consolas" w:hAnsi="Consolas"/>
                <w:b w:val="0"/>
                <w:i w:val="0"/>
                <w:sz w:val="19"/>
              </w:rPr>
              <w:t>0-3</w:t>
            </w:r>
            <w:r>
              <w:rPr>
                <w:b w:val="0"/>
                <w:i w:val="0"/>
                <w:sz w:val="19"/>
              </w:rPr>
              <w:t>, así que aparece en las tres pestañas</w:t>
            </w:r>
          </w:p>
        </w:tc>
      </w:tr>
      <w:tr>
        <w:tc>
          <w:tcPr>
            <w:tcW w:type="dxa" w:w="4819"/>
          </w:tcPr>
          <w:p>
            <w:pPr>
              <w:spacing w:after="40"/>
            </w:pPr>
            <w:r>
              <w:rPr>
                <w:b/>
                <w:i w:val="0"/>
                <w:sz w:val="19"/>
              </w:rPr>
              <w:t>Sin aparato</w:t>
            </w:r>
          </w:p>
        </w:tc>
        <w:tc>
          <w:tcPr>
            <w:tcW w:type="dxa" w:w="4819"/>
          </w:tcPr>
          <w:p>
            <w:pPr>
              <w:spacing w:after="40"/>
            </w:pPr>
            <w:r>
              <w:rPr>
                <w:b w:val="0"/>
                <w:i w:val="0"/>
                <w:sz w:val="19"/>
              </w:rPr>
              <w:t>Ninguna pantalla se ha visto todavía en un móvil o tablet real</w:t>
            </w:r>
          </w:p>
        </w:tc>
      </w:tr>
      <w:tr>
        <w:tc>
          <w:tcPr>
            <w:tcW w:type="dxa" w:w="4819"/>
            <w:shd w:val="clear" w:fill="F9FBFC"/>
          </w:tcPr>
          <w:p>
            <w:pPr>
              <w:spacing w:after="40"/>
            </w:pPr>
            <w:r>
              <w:rPr>
                <w:b/>
                <w:i w:val="0"/>
                <w:sz w:val="19"/>
              </w:rPr>
              <w:t>Google Play</w:t>
            </w:r>
          </w:p>
        </w:tc>
        <w:tc>
          <w:tcPr>
            <w:tcW w:type="dxa" w:w="4819"/>
            <w:shd w:val="clear" w:fill="F9FBFC"/>
          </w:tcPr>
          <w:p>
            <w:pPr>
              <w:spacing w:after="40"/>
            </w:pPr>
            <w:r>
              <w:rPr>
                <w:b w:val="0"/>
                <w:i w:val="0"/>
                <w:sz w:val="19"/>
              </w:rPr>
              <w:t>No está publicada</w:t>
            </w:r>
          </w:p>
        </w:tc>
      </w:tr>
    </w:tbl>
    <w:p>
      <w:pPr>
        <w:spacing w:after="80"/>
      </w:pPr>
    </w:p>
    <w:p>
      <w:pPr>
        <w:pStyle w:val="Heading1"/>
      </w:pPr>
      <w:r>
        <w:t>5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Listas vacías sin mensaje</w:t>
            </w:r>
          </w:p>
        </w:tc>
        <w:tc>
          <w:tcPr>
            <w:tcW w:type="dxa" w:w="4819"/>
            <w:shd w:val="clear" w:fill="F9FBFC"/>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