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Es la única variedad marcada </w:t>
            </w:r>
            <w:r>
              <w:rPr>
                <w:b/>
                <w:i w:val="0"/>
                <w:sz w:val="19"/>
              </w:rPr>
              <w:t>«beta»</w:t>
            </w:r>
            <w:r>
              <w:rPr>
                <w:b w:val="0"/>
                <w:i w:val="0"/>
                <w:sz w:val="19"/>
              </w:rPr>
              <w:t xml:space="preserve"> en el selector, y la única que además cambia el idioma de la interfaz. Su banco clínico se rige por una </w:t>
            </w:r>
            <w:r>
              <w:rPr>
                <w:b/>
                <w:i w:val="0"/>
                <w:sz w:val="19"/>
              </w:rPr>
              <w:t>guía dialectal firmada</w:t>
            </w:r>
            <w:r>
              <w:rPr>
                <w:b w:val="0"/>
                <w:i w:val="0"/>
                <w:sz w:val="19"/>
              </w:rPr>
              <w:t xml:space="preserve"> que cubre el inglés afroamericano (AAE) y el de hablantes bilingües, para no marcar como error lo que es un rasgo del habla.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shd w:val="clear" w:fill="F7FBFB"/>
          </w:tcPr>
          <w:p>
            <w:pPr>
              <w:spacing w:after="40"/>
            </w:pPr>
            <w:r>
              <w:rPr>
                <w:b/>
                <w:i w:val="0"/>
                <w:sz w:val="19"/>
              </w:rPr>
              <w:t>Sobre‑responsividad auditiva (SOR)</w:t>
            </w:r>
          </w:p>
        </w:tc>
        <w:tc>
          <w:tcPr>
            <w:tcW w:type="dxa" w:w="4819"/>
            <w:shd w:val="clear" w:fill="F7FBFB"/>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la interfaz pasa también a inglés. Sobre el contenido de los ejercicios, </w:t>
            </w:r>
            <w:r>
              <w:rPr>
                <w:b/>
                <w:i w:val="0"/>
                <w:sz w:val="19"/>
              </w:rPr>
              <w:t>lea lo que dice la propia tarjeta</w:t>
            </w:r>
            <w:r>
              <w:rPr>
                <w:b w:val="0"/>
                <w:i w:val="0"/>
                <w:sz w:val="19"/>
              </w:rPr>
              <w:t xml:space="preserve"> debajo del selector: es la fuente al día, y esta variedad es la única que todavía se mueve.</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