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v14.1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Euskara · English)</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nueve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nueve bloques de terapia</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terapias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terapias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terapias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terapias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shd w:val="clear" w:fill="F7FBFB"/>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cuatro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terapéutica,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Cinco variedades de habla con voz neuronal offline</w:t>
      </w:r>
    </w:p>
    <w:p>
      <w:pPr>
        <w:spacing w:after="120"/>
      </w:pPr>
      <w:r>
        <w:rPr>
          <w:b w:val="0"/>
          <w:i w:val="0"/>
        </w:rPr>
        <w:t xml:space="preserve">El contenido terapéutico —lo que se locuta, se muestra y se evalúa— puede trabajarse en </w:t>
      </w:r>
      <w:r>
        <w:rPr>
          <w:b/>
          <w:i w:val="0"/>
        </w:rPr>
        <w:t>cinco variedades</w:t>
      </w:r>
      <w:r>
        <w:rPr>
          <w:b w:val="0"/>
          <w:i w:val="0"/>
        </w:rPr>
        <w:t xml:space="preserve">. Castellano, gallego, euskera e inglés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la terapia en inglés. Para el </w:t>
      </w:r>
      <w:r>
        <w:rPr>
          <w:b/>
          <w:i w:val="0"/>
        </w:rPr>
        <w:t>desacople</w:t>
      </w:r>
      <w:r>
        <w:rPr>
          <w:b w:val="0"/>
          <w:i w:val="0"/>
        </w:rPr>
        <w:t xml:space="preserve"> —interfaz en un idioma y terapia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Tiene </w:t>
            </w:r>
            <w:r>
              <w:rPr>
                <w:b/>
                <w:i w:val="0"/>
                <w:sz w:val="19"/>
              </w:rPr>
              <w:t>banco clínico propio</w:t>
            </w:r>
            <w:r>
              <w:rPr>
                <w:b w:val="0"/>
                <w:i w:val="0"/>
                <w:sz w:val="19"/>
              </w:rPr>
              <w:t xml:space="preserve"> —pares mínimos, expansión semántica, Audición, Lenguaje, TEA, Dislexia y Test de Ling—, gobernado por una </w:t>
            </w:r>
            <w:r>
              <w:rPr>
                <w:b/>
                <w:i w:val="0"/>
                <w:sz w:val="19"/>
              </w:rPr>
              <w:t>guía dialectal firmada</w:t>
            </w:r>
            <w:r>
              <w:rPr>
                <w:b w:val="0"/>
                <w:i w:val="0"/>
                <w:sz w:val="19"/>
              </w:rPr>
              <w:t xml:space="preserve"> por una logopeda con licencia de </w:t>
            </w:r>
            <w:r>
              <w:rPr>
                <w:b/>
                <w:i w:val="0"/>
                <w:sz w:val="19"/>
              </w:rPr>
              <w:t>Howard University</w:t>
            </w:r>
            <w:r>
              <w:rPr>
                <w:b w:val="0"/>
                <w:i w:val="0"/>
                <w:sz w:val="19"/>
              </w:rPr>
              <w:t xml:space="preserve">: no se marcan como error los rasgos del inglés afroamericano (AAE) ni los del hablante bilingüe. Va marcada </w:t>
            </w:r>
            <w:r>
              <w:rPr>
                <w:b/>
                <w:i w:val="0"/>
                <w:sz w:val="19"/>
              </w:rPr>
              <w:t>«beta»</w:t>
            </w:r>
            <w:r>
              <w:rPr>
                <w:b w:val="0"/>
                <w:i w:val="0"/>
                <w:sz w:val="19"/>
              </w:rPr>
              <w:t xml:space="preserve"> en el selector por ser la más reciente, no porque le falte contenido.</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la proporción de cápsulas de movimiento saltadas y cuánto se usa el </w:t>
            </w:r>
            <w:r>
              <w:rPr>
                <w:b/>
                <w:i w:val="0"/>
                <w:sz w:val="19"/>
              </w:rPr>
              <w:t>recuento del micrófono</w:t>
            </w:r>
            <w:r>
              <w:rPr>
                <w:b w:val="0"/>
                <w:i w:val="0"/>
                <w:sz w:val="19"/>
              </w:rPr>
              <w:t xml:space="preserve"> —el apoyo de las láminas—.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una encuesta breve de satisfacción y, en los ejercicios de frase con micrófono, cuántas palabras reconoció el </w:t>
            </w:r>
            <w:r>
              <w:rPr>
                <w:b/>
                <w:i w:val="0"/>
                <w:sz w:val="20"/>
              </w:rPr>
              <w:t>recuento del micrófono</w:t>
            </w:r>
            <w:r>
              <w:rPr>
                <w:b w:val="0"/>
                <w:i w:val="0"/>
                <w:sz w:val="20"/>
              </w:rPr>
              <w:t xml:space="preserve"> —cifras del apoyo del ejercicio, no una transcripción y no una medida clínica—.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 xml:space="preserve">Métricas anónimas que la app recoge durante el piloto para medir lo fácil que resulta de usar (tiempo por pantalla, misclicks, abandono de cápsulas). Sin datos personales. Incluye cuánto se usa el </w:t>
            </w:r>
            <w:r>
              <w:rPr>
                <w:b/>
                <w:i w:val="0"/>
                <w:sz w:val="19"/>
              </w:rPr>
              <w:t>recuento del micrófono</w:t>
            </w:r>
            <w:r>
              <w:rPr>
                <w:b w:val="0"/>
                <w:i w:val="0"/>
                <w:sz w:val="19"/>
              </w:rPr>
              <w:t>: cifras del apoyo, nunca palabras, y sin valor clínico.</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o English (US,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Recuento del micrófono</w:t>
            </w:r>
          </w:p>
        </w:tc>
        <w:tc>
          <w:tcPr>
            <w:tcW w:type="dxa" w:w="4819"/>
          </w:tcPr>
          <w:p>
            <w:pPr>
              <w:spacing w:after="40"/>
            </w:pPr>
            <w:r>
              <w:rPr>
                <w:b w:val="0"/>
                <w:i w:val="0"/>
                <w:sz w:val="19"/>
              </w:rPr>
              <w:t xml:space="preserve">Cuántas palabras de la frase pedida reconoció el micrófono. Aparece bajo el veredicto del ensayo y, acumulado, en una tarjeta al final del panel de resultados. Es un </w:t>
            </w:r>
            <w:r>
              <w:rPr>
                <w:b/>
                <w:i w:val="0"/>
                <w:sz w:val="19"/>
              </w:rPr>
              <w:t>apoyo del ejercicio</w:t>
            </w:r>
            <w:r>
              <w:rPr>
                <w:b w:val="0"/>
                <w:i w:val="0"/>
                <w:sz w:val="19"/>
              </w:rPr>
              <w:t xml:space="preserve">: </w:t>
            </w:r>
            <w:r>
              <w:rPr>
                <w:b/>
                <w:i w:val="0"/>
                <w:sz w:val="19"/>
              </w:rPr>
              <w:t>no mide el lenguaje, no tiene finalidad sanitaria y no entra en ninguna decisión clínica</w:t>
            </w:r>
            <w:r>
              <w:rPr>
                <w:b w:val="0"/>
                <w:i w:val="0"/>
                <w:sz w:val="19"/>
              </w:rPr>
              <w:t xml:space="preserve"> (CU‑12).</w:t>
            </w:r>
          </w:p>
        </w:tc>
      </w:tr>
      <w:tr>
        <w:tc>
          <w:tcPr>
            <w:tcW w:type="dxa" w:w="4819"/>
            <w:shd w:val="clear" w:fill="F7FBFB"/>
          </w:tcPr>
          <w:p>
            <w:pPr>
              <w:spacing w:after="40"/>
            </w:pPr>
            <w:r>
              <w:rPr>
                <w:b/>
                <w:i w:val="0"/>
                <w:sz w:val="19"/>
              </w:rPr>
              <w:t>Láminas de la frase</w:t>
            </w:r>
          </w:p>
        </w:tc>
        <w:tc>
          <w:tcPr>
            <w:tcW w:type="dxa" w:w="4819"/>
            <w:shd w:val="clear" w:fill="F7FBFB"/>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tcPr>
          <w:p>
            <w:pPr>
              <w:spacing w:after="40"/>
            </w:pPr>
            <w:r>
              <w:rPr>
                <w:b/>
                <w:i w:val="0"/>
                <w:sz w:val="19"/>
              </w:rPr>
              <w:t>Sobre‑responsividad auditiva (SOR)</w:t>
            </w:r>
          </w:p>
        </w:tc>
        <w:tc>
          <w:tcPr>
            <w:tcW w:type="dxa" w:w="4819"/>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shd w:val="clear" w:fill="F7FBFB"/>
          </w:tcPr>
          <w:p>
            <w:pPr>
              <w:spacing w:after="40"/>
            </w:pPr>
            <w:r>
              <w:rPr>
                <w:b/>
                <w:i w:val="0"/>
                <w:sz w:val="19"/>
              </w:rPr>
              <w:t>RAN</w:t>
            </w:r>
          </w:p>
        </w:tc>
        <w:tc>
          <w:tcPr>
            <w:tcW w:type="dxa" w:w="4819"/>
            <w:shd w:val="clear" w:fill="F7FBFB"/>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tcPr>
          <w:p>
            <w:pPr>
              <w:spacing w:after="40"/>
            </w:pPr>
            <w:r>
              <w:rPr>
                <w:b/>
                <w:i w:val="0"/>
                <w:sz w:val="19"/>
              </w:rPr>
              <w:t>Escucha en ruido</w:t>
            </w:r>
          </w:p>
        </w:tc>
        <w:tc>
          <w:tcPr>
            <w:tcW w:type="dxa" w:w="4819"/>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shd w:val="clear" w:fill="F7FBFB"/>
          </w:tcPr>
          <w:p>
            <w:pPr>
              <w:spacing w:after="40"/>
            </w:pPr>
            <w:r>
              <w:rPr>
                <w:b/>
                <w:i w:val="0"/>
                <w:sz w:val="19"/>
              </w:rPr>
              <w:t>Rasgo dialectal</w:t>
            </w:r>
          </w:p>
        </w:tc>
        <w:tc>
          <w:tcPr>
            <w:tcW w:type="dxa" w:w="4819"/>
            <w:shd w:val="clear" w:fill="F7FBFB"/>
          </w:tcPr>
          <w:p>
            <w:pPr>
              <w:spacing w:after="40"/>
            </w:pPr>
            <w:r>
              <w:rPr>
                <w:b w:val="0"/>
                <w:i w:val="0"/>
                <w:sz w:val="19"/>
              </w:rPr>
              <w:t>Característica normal del habla de una región (p. ej. el seseo dominicano). No es un error clínico y la app no lo penaliza.</w:t>
            </w:r>
          </w:p>
        </w:tc>
      </w:tr>
      <w:tr>
        <w:tc>
          <w:tcPr>
            <w:tcW w:type="dxa" w:w="4819"/>
          </w:tcPr>
          <w:p>
            <w:pPr>
              <w:spacing w:after="40"/>
            </w:pPr>
            <w:r>
              <w:rPr>
                <w:b/>
                <w:i w:val="0"/>
                <w:sz w:val="19"/>
              </w:rPr>
              <w:t>Frase portadora</w:t>
            </w:r>
          </w:p>
        </w:tc>
        <w:tc>
          <w:tcPr>
            <w:tcW w:type="dxa" w:w="4819"/>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shd w:val="clear" w:fill="F7FBFB"/>
          </w:tcPr>
          <w:p>
            <w:pPr>
              <w:spacing w:after="40"/>
            </w:pPr>
            <w:r>
              <w:rPr>
                <w:b/>
                <w:i w:val="0"/>
                <w:sz w:val="19"/>
              </w:rPr>
              <w:t>Carga comunicativa</w:t>
            </w:r>
          </w:p>
        </w:tc>
        <w:tc>
          <w:tcPr>
            <w:tcW w:type="dxa" w:w="4819"/>
            <w:shd w:val="clear" w:fill="F7FBFB"/>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shd w:val="clear" w:fill="F7FBFB"/>
          </w:tcPr>
          <w:p>
            <w:pPr>
              <w:spacing w:after="40"/>
            </w:pPr>
            <w:r>
              <w:rPr>
                <w:b/>
                <w:i w:val="0"/>
                <w:sz w:val="19"/>
              </w:rPr>
              <w:t>Realidad Aumentada (RA)</w:t>
            </w:r>
          </w:p>
        </w:tc>
        <w:tc>
          <w:tcPr>
            <w:tcW w:type="dxa" w:w="4819"/>
            <w:shd w:val="clear" w:fill="F7FBFB"/>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tcPr>
          <w:p>
            <w:pPr>
              <w:spacing w:after="40"/>
            </w:pPr>
            <w:r>
              <w:rPr>
                <w:b/>
                <w:i w:val="0"/>
                <w:sz w:val="19"/>
              </w:rPr>
              <w:t>Prueba de aptitud</w:t>
            </w:r>
          </w:p>
        </w:tc>
        <w:tc>
          <w:tcPr>
            <w:tcW w:type="dxa" w:w="4819"/>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shd w:val="clear" w:fill="F7FBFB"/>
          </w:tcPr>
          <w:p>
            <w:pPr>
              <w:spacing w:after="40"/>
            </w:pPr>
            <w:r>
              <w:rPr>
                <w:b/>
                <w:i w:val="0"/>
                <w:sz w:val="19"/>
              </w:rPr>
              <w:t>Sostén</w:t>
            </w:r>
          </w:p>
        </w:tc>
        <w:tc>
          <w:tcPr>
            <w:tcW w:type="dxa" w:w="4819"/>
            <w:shd w:val="clear" w:fill="F7FBFB"/>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tcPr>
          <w:p>
            <w:pPr>
              <w:spacing w:after="40"/>
            </w:pPr>
            <w:r>
              <w:rPr>
                <w:b/>
                <w:i w:val="0"/>
                <w:sz w:val="19"/>
              </w:rPr>
              <w:t>Fijación (</w:t>
            </w:r>
            <w:r>
              <w:rPr>
                <w:b/>
                <w:i/>
                <w:sz w:val="19"/>
              </w:rPr>
              <w:t>dwell</w:t>
            </w:r>
            <w:r>
              <w:rPr>
                <w:b/>
                <w:i w:val="0"/>
                <w:sz w:val="19"/>
              </w:rPr>
              <w:t>)</w:t>
            </w:r>
          </w:p>
        </w:tc>
        <w:tc>
          <w:tcPr>
            <w:tcW w:type="dxa" w:w="4819"/>
          </w:tcPr>
          <w:p>
            <w:pPr>
              <w:spacing w:after="40"/>
            </w:pPr>
            <w:r>
              <w:rPr>
                <w:b w:val="0"/>
                <w:i w:val="0"/>
                <w:sz w:val="19"/>
              </w:rPr>
              <w:t>Mantener la mirada sobre un dibujo el tiempo suficiente para elegirlo, sin tocar la pantalla. Es cómo se responde en AR‑3.</w:t>
            </w:r>
          </w:p>
        </w:tc>
      </w:tr>
      <w:tr>
        <w:tc>
          <w:tcPr>
            <w:tcW w:type="dxa" w:w="4819"/>
            <w:shd w:val="clear" w:fill="F7FBFB"/>
          </w:tcPr>
          <w:p>
            <w:pPr>
              <w:spacing w:after="40"/>
            </w:pPr>
            <w:r>
              <w:rPr>
                <w:b/>
                <w:i w:val="0"/>
                <w:sz w:val="19"/>
              </w:rPr>
              <w:t>Calibración de mirada</w:t>
            </w:r>
          </w:p>
        </w:tc>
        <w:tc>
          <w:tcPr>
            <w:tcW w:type="dxa" w:w="4819"/>
            <w:shd w:val="clear" w:fill="F7FBFB"/>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tcPr>
          <w:p>
            <w:pPr>
              <w:spacing w:after="40"/>
            </w:pPr>
            <w:r>
              <w:rPr>
                <w:b/>
                <w:i w:val="0"/>
                <w:sz w:val="19"/>
              </w:rPr>
              <w:t>Latencia</w:t>
            </w:r>
          </w:p>
        </w:tc>
        <w:tc>
          <w:tcPr>
            <w:tcW w:type="dxa" w:w="4819"/>
          </w:tcPr>
          <w:p>
            <w:pPr>
              <w:spacing w:after="40"/>
            </w:pPr>
            <w:r>
              <w:rPr>
                <w:b w:val="0"/>
                <w:i w:val="0"/>
                <w:sz w:val="19"/>
              </w:rPr>
              <w:t>Milisegundos que tarda el niño en girar la cabeza hacia un sonido (AR‑2). Es la versión medible de la pregunta «¿giró?».</w:t>
            </w:r>
          </w:p>
        </w:tc>
      </w:tr>
      <w:tr>
        <w:tc>
          <w:tcPr>
            <w:tcW w:type="dxa" w:w="4819"/>
            <w:shd w:val="clear" w:fill="F7FBFB"/>
          </w:tcPr>
          <w:p>
            <w:pPr>
              <w:spacing w:after="40"/>
            </w:pPr>
            <w:r>
              <w:rPr>
                <w:b/>
                <w:i w:val="0"/>
                <w:sz w:val="19"/>
              </w:rPr>
              <w:t>Ensayo trampa</w:t>
            </w:r>
          </w:p>
        </w:tc>
        <w:tc>
          <w:tcPr>
            <w:tcW w:type="dxa" w:w="4819"/>
            <w:shd w:val="clear" w:fill="F7FBFB"/>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tcPr>
          <w:p>
            <w:pPr>
              <w:spacing w:after="40"/>
            </w:pPr>
            <w:r>
              <w:rPr>
                <w:b/>
                <w:i w:val="0"/>
                <w:sz w:val="19"/>
              </w:rPr>
              <w:t>Ensayo anulado</w:t>
            </w:r>
          </w:p>
        </w:tc>
        <w:tc>
          <w:tcPr>
            <w:tcW w:type="dxa" w:w="4819"/>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con la selección de ejercicios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con la selección de ejercicios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cuántas terapias hay activas.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r>
              <w:br/>
            </w:r>
            <w:r>
              <w:rPr>
                <w:b w:val="0"/>
                <w:i w:val="0"/>
                <w:sz w:val="20"/>
              </w:rPr>
              <w:t xml:space="preserve"> Al cerrarse el ensayo, el veredicto </w:t>
            </w:r>
            <w:r>
              <w:rPr>
                <w:b/>
                <w:i w:val="0"/>
                <w:sz w:val="20"/>
              </w:rPr>
              <w:t>añade el recuento</w:t>
            </w:r>
            <w:r>
              <w:rPr>
                <w:b w:val="0"/>
                <w:i w:val="0"/>
                <w:sz w:val="20"/>
              </w:rPr>
              <w:t xml:space="preserve"> —«3 de 5 palabras de la frase»—. Las estrellas </w:t>
            </w:r>
            <w:r>
              <w:rPr>
                <w:b/>
                <w:i w:val="0"/>
                <w:sz w:val="20"/>
              </w:rPr>
              <w:t>no cambian por eso</w:t>
            </w:r>
            <w:r>
              <w:rPr>
                <w:b w:val="0"/>
                <w:i w:val="0"/>
                <w:sz w:val="20"/>
              </w:rPr>
              <w:t>: el baremo es el de siempre. Lo que se arregla es que «¡Casi casi!» era la misma palabra para quien dijo una de cinco y para quien dijo cuatro, y el adulto no podía distinguirlos si no estaba mirando las láminas en ese instante.</w:t>
            </w:r>
            <w:r>
              <w:br/>
            </w:r>
            <w:r>
              <w:rPr>
                <w:b w:val="0"/>
                <w:i w:val="0"/>
                <w:sz w:val="20"/>
              </w:rPr>
              <w:t xml:space="preserve"> Es un </w:t>
            </w:r>
            <w:r>
              <w:rPr>
                <w:b/>
                <w:i w:val="0"/>
                <w:sz w:val="20"/>
              </w:rPr>
              <w:t>apoyo para llevar el ejercicio</w:t>
            </w:r>
            <w:r>
              <w:rPr>
                <w:b w:val="0"/>
                <w:i w:val="0"/>
                <w:sz w:val="20"/>
              </w:rPr>
              <w:t xml:space="preserve">, no una nota: no mide el lenguaje del niño ni tiene ningún valor sanitario. </w:t>
            </w:r>
            <w:r>
              <w:rPr>
                <w:b/>
                <w:i w:val="0"/>
                <w:sz w:val="20"/>
              </w:rPr>
              <w:t>La valoración sigue siendo del adulto</w:t>
            </w:r>
            <w:r>
              <w:rPr>
                <w:b w:val="0"/>
                <w:i w:val="0"/>
                <w:sz w:val="20"/>
              </w:rPr>
              <w:t>, con la escala EPT‑3.</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40-ancla-visual-sugerenci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41-ancla-visual-en-curso.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5-premi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6-premios-insignias.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armario-lua.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4" name="Picture 34"/>
            <wp:cNvGraphicFramePr>
              <a:graphicFrameLocks noChangeAspect="1"/>
            </wp:cNvGraphicFramePr>
            <a:graphic>
              <a:graphicData uri="http://schemas.openxmlformats.org/drawingml/2006/picture">
                <pic:pic>
                  <pic:nvPicPr>
                    <pic:cNvPr id="0" name="lua-antojo.png"/>
                    <pic:cNvPicPr/>
                  </pic:nvPicPr>
                  <pic:blipFill>
                    <a:blip r:embed="rId41"/>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5" name="Picture 35"/>
            <wp:cNvGraphicFramePr>
              <a:graphicFrameLocks noChangeAspect="1"/>
            </wp:cNvGraphicFramePr>
            <a:graphic>
              <a:graphicData uri="http://schemas.openxmlformats.org/drawingml/2006/picture">
                <pic:pic>
                  <pic:nvPicPr>
                    <pic:cNvPr id="0" name="lua-caricia.png"/>
                    <pic:cNvPicPr/>
                  </pic:nvPicPr>
                  <pic:blipFill>
                    <a:blip r:embed="rId42"/>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Al final del panel, y separada del resto a propósito, está la tarjeta </w:t>
      </w:r>
      <w:r>
        <w:rPr>
          <w:b/>
          <w:i w:val="0"/>
        </w:rPr>
        <w:t>Recuento del micrófono</w:t>
      </w:r>
      <w:r>
        <w:rPr>
          <w:b w:val="0"/>
          <w:i w:val="0"/>
        </w:rPr>
        <w:t xml:space="preserve">: cuántas palabras de las frases pedidas reconoció el micrófono. </w:t>
      </w:r>
      <w:r>
        <w:rPr>
          <w:b/>
          <w:i w:val="0"/>
        </w:rPr>
        <w:t>Es un apoyo del ejercicio, no una medida</w:t>
      </w:r>
      <w:r>
        <w:rPr>
          <w:b w:val="0"/>
          <w:i w:val="0"/>
        </w:rPr>
        <w:t xml:space="preserve"> —ver el aviso de abajo—. No aparece mientras no se haya practicado ninguna frase.</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El recuento del micrófono no tiene ningún valor sanitario</w:t>
            </w:r>
          </w:p>
          <w:p>
            <w:pPr>
              <w:spacing w:after="40"/>
            </w:pPr>
            <w:r>
              <w:rPr>
                <w:b w:val="0"/>
                <w:i w:val="0"/>
                <w:sz w:val="20"/>
              </w:rPr>
              <w:t xml:space="preserve"> Dicho sin rodeos, porque el sitio donde aparece se presta a confusión: ese número </w:t>
            </w:r>
            <w:r>
              <w:rPr>
                <w:b/>
                <w:i w:val="0"/>
                <w:sz w:val="20"/>
              </w:rPr>
              <w:t>no mide el lenguaje del niño</w:t>
            </w:r>
            <w:r>
              <w:rPr>
                <w:b w:val="0"/>
                <w:i w:val="0"/>
                <w:sz w:val="20"/>
              </w:rPr>
              <w:t xml:space="preserve">, </w:t>
            </w:r>
            <w:r>
              <w:rPr>
                <w:b/>
                <w:i w:val="0"/>
                <w:sz w:val="20"/>
              </w:rPr>
              <w:t>no evalúa</w:t>
            </w:r>
            <w:r>
              <w:rPr>
                <w:b w:val="0"/>
                <w:i w:val="0"/>
                <w:sz w:val="20"/>
              </w:rPr>
              <w:t xml:space="preserve"> nada, </w:t>
            </w:r>
            <w:r>
              <w:rPr>
                <w:b/>
                <w:i w:val="0"/>
                <w:sz w:val="20"/>
              </w:rPr>
              <w:t>no sirve para un diagnóstico ni para un informe</w:t>
            </w:r>
            <w:r>
              <w:rPr>
                <w:b w:val="0"/>
                <w:i w:val="0"/>
                <w:sz w:val="20"/>
              </w:rPr>
              <w:t xml:space="preserve"> y </w:t>
            </w:r>
            <w:r>
              <w:rPr>
                <w:b/>
                <w:i w:val="0"/>
                <w:sz w:val="20"/>
              </w:rPr>
              <w:t>no debe usarse para decidir nada del tratamiento</w:t>
            </w:r>
            <w:r>
              <w:rPr>
                <w:b w:val="0"/>
                <w:i w:val="0"/>
                <w:sz w:val="20"/>
              </w:rPr>
              <w:t xml:space="preserve">. Es un </w:t>
            </w:r>
            <w:r>
              <w:rPr>
                <w:b/>
                <w:i w:val="0"/>
                <w:sz w:val="20"/>
              </w:rPr>
              <w:t>apoyo del ejercicio</w:t>
            </w:r>
            <w:r>
              <w:rPr>
                <w:b w:val="0"/>
                <w:i w:val="0"/>
                <w:sz w:val="20"/>
              </w:rPr>
              <w:t>: está para que el niño vea por dónde va mientras habla y para que el adulto vea qué palabra se cayó.</w:t>
            </w:r>
            <w:r>
              <w:br/>
            </w:r>
            <w:r>
              <w:rPr>
                <w:b w:val="0"/>
                <w:i w:val="0"/>
                <w:sz w:val="20"/>
              </w:rPr>
              <w:t xml:space="preserve"> Tampoco es la </w:t>
            </w:r>
            <w:r>
              <w:rPr>
                <w:b/>
                <w:i w:val="0"/>
                <w:sz w:val="20"/>
              </w:rPr>
              <w:t>LME</w:t>
            </w:r>
            <w:r>
              <w:rPr>
                <w:b w:val="0"/>
                <w:i w:val="0"/>
                <w:sz w:val="20"/>
              </w:rPr>
              <w:t xml:space="preserve">, por si alguien lo confunde: la longitud media del enunciado se cuenta en </w:t>
            </w:r>
            <w:r>
              <w:rPr>
                <w:b/>
                <w:i w:val="0"/>
                <w:sz w:val="20"/>
              </w:rPr>
              <w:t>morfemas</w:t>
            </w:r>
            <w:r>
              <w:rPr>
                <w:b w:val="0"/>
                <w:i w:val="0"/>
                <w:sz w:val="20"/>
              </w:rPr>
              <w:t xml:space="preserve"> sobre </w:t>
            </w:r>
            <w:r>
              <w:rPr>
                <w:b/>
                <w:i w:val="0"/>
                <w:sz w:val="20"/>
              </w:rPr>
              <w:t>habla espontánea</w:t>
            </w:r>
            <w:r>
              <w:rPr>
                <w:b w:val="0"/>
                <w:i w:val="0"/>
                <w:sz w:val="20"/>
              </w:rPr>
              <w:t xml:space="preserve">, y aquí el niño repite frases que le dicta la app. Y hay tres motivos por los que ese número no puede ascender a indicador aunque se quiera: la muestra es imitación, el resultado depende del </w:t>
            </w:r>
            <w:r>
              <w:rPr>
                <w:b/>
                <w:i w:val="0"/>
                <w:sz w:val="20"/>
              </w:rPr>
              <w:t>reconocedor de cada teléfono</w:t>
            </w:r>
            <w:r>
              <w:rPr>
                <w:b w:val="0"/>
                <w:i w:val="0"/>
                <w:sz w:val="20"/>
              </w:rPr>
              <w:t xml:space="preserve"> —el mismo niño puntúa distinto en dos móviles— y las frases las elige el banco de ejercicios, no un protocolo.</w:t>
            </w:r>
            <w:r>
              <w:br/>
            </w:r>
            <w:r>
              <w:rPr>
                <w:b w:val="0"/>
                <w:i w:val="0"/>
                <w:sz w:val="20"/>
              </w:rPr>
              <w:t xml:space="preserve"> </w:t>
            </w:r>
            <w:r>
              <w:rPr>
                <w:b/>
                <w:i w:val="0"/>
                <w:sz w:val="20"/>
              </w:rPr>
              <w:t>Quien valora cómo ha hablado el niño es el adulto</w:t>
            </w:r>
            <w:r>
              <w:rPr>
                <w:b w:val="0"/>
                <w:i w:val="0"/>
                <w:sz w:val="20"/>
              </w:rPr>
              <w:t>, con la escala EPT‑3, igual que en el resto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0-resultados.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21-resultados-fonema.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cápsulas de movimiento saltadas y el uso del recuento del micrófono)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Euskara · English)</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cinco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terapia</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terapia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cambian los tres a la vez: la locución, el reconocimiento y el idioma de la interfaz. Los ejercicios tienen </w:t>
            </w:r>
            <w:r>
              <w:rPr>
                <w:b/>
                <w:i w:val="0"/>
                <w:sz w:val="19"/>
              </w:rPr>
              <w:t>banco propio</w:t>
            </w:r>
            <w:r>
              <w:rPr>
                <w:b w:val="0"/>
                <w:i w:val="0"/>
                <w:sz w:val="19"/>
              </w:rPr>
              <w:t xml:space="preserve"> en las siete familias de contenido, con </w:t>
            </w:r>
            <w:r>
              <w:rPr>
                <w:b/>
                <w:i w:val="0"/>
                <w:sz w:val="19"/>
              </w:rPr>
              <w:t>respeto dialectal</w:t>
            </w:r>
            <w:r>
              <w:rPr>
                <w:b w:val="0"/>
                <w:i w:val="0"/>
                <w:sz w:val="19"/>
              </w:rPr>
              <w:t xml:space="preserve"> revisado y firmado (ver el recuadro de abajo).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o </w:t>
      </w:r>
      <w:r>
        <w:rPr>
          <w:b/>
          <w:i w:val="0"/>
        </w:rPr>
        <w:t>English (US)</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terapia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El banco inglés está validado</w:t>
            </w:r>
          </w:p>
          <w:p>
            <w:pPr>
              <w:spacing w:after="40"/>
            </w:pPr>
            <w:r>
              <w:rPr>
                <w:b w:val="0"/>
                <w:i w:val="0"/>
                <w:sz w:val="20"/>
              </w:rPr>
              <w:t xml:space="preserve"> No es una variedad a medias. Los ejercicios en inglés tienen contenido propio en las siete familias —pares mínimos, expansión semántica, Audición, Lenguaje, TEA, Dislexia y Test de Ling— y la </w:t>
            </w:r>
            <w:r>
              <w:rPr>
                <w:b/>
                <w:i w:val="0"/>
                <w:sz w:val="20"/>
              </w:rPr>
              <w:t>guía dialectal</w:t>
            </w:r>
            <w:r>
              <w:rPr>
                <w:b w:val="0"/>
                <w:i w:val="0"/>
                <w:sz w:val="20"/>
              </w:rPr>
              <w:t xml:space="preserve"> que decide qué cuenta como error y qué es habla normal fue </w:t>
            </w:r>
            <w:r>
              <w:rPr>
                <w:b/>
                <w:i w:val="0"/>
                <w:sz w:val="20"/>
              </w:rPr>
              <w:t>revisada y firmada por una logopeda con licencia de Howard University</w:t>
            </w:r>
            <w:r>
              <w:rPr>
                <w:b w:val="0"/>
                <w:i w:val="0"/>
                <w:sz w:val="20"/>
              </w:rPr>
              <w:t xml:space="preserve">, cuya práctica con hablantes de </w:t>
            </w:r>
            <w:r>
              <w:rPr>
                <w:b/>
                <w:i w:val="0"/>
                <w:sz w:val="20"/>
              </w:rPr>
              <w:t>inglés afroamericano (AAE)</w:t>
            </w:r>
            <w:r>
              <w:rPr>
                <w:b w:val="0"/>
                <w:i w:val="0"/>
                <w:sz w:val="20"/>
              </w:rPr>
              <w:t xml:space="preserve"> es justamente lo que da autoridad sobre los apartados de más riesgo. Con esa firma queda validado el conjunto del banco. Ni el AAE ni los rasgos del hablante bilingüe se puntúan como fallo.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3-panel-adulto.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1-sensorial-lista.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2-sensorial-preparacion.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3-sensorial-anticip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4-sensorial-exposicion.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5-sensorial-pausa.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6-sensorial-valor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7-sensorial-completada.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40-pizarra-magic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Métricas </w:t>
            </w:r>
            <w:r>
              <w:rPr>
                <w:b/>
                <w:i w:val="0"/>
                <w:sz w:val="19"/>
              </w:rPr>
              <w:t>anónimas</w:t>
            </w:r>
            <w:r>
              <w:rPr>
                <w:b w:val="0"/>
                <w:i w:val="0"/>
                <w:sz w:val="19"/>
              </w:rPr>
              <w:t xml:space="preserve"> de usabilidad (tiempo por pantalla, misclicks y cápsulas saltadas), una encuesta breve y cuántas palabras reconoció el </w:t>
            </w:r>
            <w:r>
              <w:rPr>
                <w:b/>
                <w:i w:val="0"/>
                <w:sz w:val="19"/>
              </w:rPr>
              <w:t>recuento del micrófono</w:t>
            </w:r>
            <w:r>
              <w:rPr>
                <w:b w:val="0"/>
                <w:i w:val="0"/>
                <w:sz w:val="19"/>
              </w:rPr>
              <w:t xml:space="preserve">, que es un apoyo del ejercicio </w:t>
            </w:r>
            <w:r>
              <w:rPr>
                <w:b/>
                <w:i w:val="0"/>
                <w:sz w:val="19"/>
              </w:rPr>
              <w:t>sin valor sanitario</w:t>
            </w:r>
            <w:r>
              <w:rPr>
                <w:b w:val="0"/>
                <w:i w:val="0"/>
                <w:sz w:val="19"/>
              </w:rPr>
              <w:t xml:space="preserve">. </w:t>
            </w:r>
            <w:r>
              <w:rPr>
                <w:b/>
                <w:i w:val="0"/>
                <w:sz w:val="19"/>
              </w:rPr>
              <w:t>No</w:t>
            </w:r>
            <w:r>
              <w:rPr>
                <w:b w:val="0"/>
                <w:i w:val="0"/>
                <w:sz w:val="19"/>
              </w:rPr>
              <w:t xml:space="preserve"> se guardan nombres, ni audio, ni el contenido de las respuestas: del habla solo quedan números, nunca las palabras.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(v14.1)</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r>
        <w:tc>
          <w:tcPr>
            <w:tcW w:type="dxa" w:w="4819"/>
            <w:shd w:val="clear" w:fill="F7FBFB"/>
          </w:tcPr>
          <w:p>
            <w:pPr>
              <w:spacing w:after="40"/>
            </w:pPr>
            <w:r>
              <w:rPr>
                <w:b/>
                <w:i w:val="0"/>
                <w:sz w:val="19"/>
              </w:rPr>
              <w:t>v14.1</w:t>
            </w:r>
          </w:p>
        </w:tc>
        <w:tc>
          <w:tcPr>
            <w:tcW w:type="dxa" w:w="4819"/>
            <w:shd w:val="clear" w:fill="F7FBFB"/>
          </w:tcPr>
          <w:p>
            <w:pPr>
              <w:spacing w:after="40"/>
            </w:pPr>
            <w:r>
              <w:rPr>
                <w:b/>
                <w:i w:val="0"/>
                <w:sz w:val="19"/>
              </w:rPr>
              <w:t>El recuento del micrófono llega hasta donde sirve.</w:t>
            </w:r>
            <w:r>
              <w:rPr>
                <w:b w:val="0"/>
                <w:i w:val="0"/>
                <w:sz w:val="19"/>
              </w:rPr>
              <w:t xml:space="preserve"> Las láminas de la frase ya contaban palabras en pantalla, pero ese número no salía de ahí. Ahora el </w:t>
            </w:r>
            <w:r>
              <w:rPr>
                <w:b/>
                <w:i w:val="0"/>
                <w:sz w:val="19"/>
              </w:rPr>
              <w:t>veredicto dice cuántas</w:t>
            </w:r>
            <w:r>
              <w:rPr>
                <w:b w:val="0"/>
                <w:i w:val="0"/>
                <w:sz w:val="19"/>
              </w:rPr>
              <w:t xml:space="preserve"> («3 de 5 palabras de la frase») —las estrellas </w:t>
            </w:r>
            <w:r>
              <w:rPr>
                <w:b/>
                <w:i w:val="0"/>
                <w:sz w:val="19"/>
              </w:rPr>
              <w:t>no cambian</w:t>
            </w:r>
            <w:r>
              <w:rPr>
                <w:b w:val="0"/>
                <w:i w:val="0"/>
                <w:sz w:val="19"/>
              </w:rPr>
              <w:t xml:space="preserve">: el baremo es el mismo— y el panel cierra con una tarjeta de </w:t>
            </w:r>
            <w:r>
              <w:rPr>
                <w:b/>
                <w:i w:val="0"/>
                <w:sz w:val="19"/>
              </w:rPr>
              <w:t>Recuento del micrófono</w:t>
            </w:r>
            <w:r>
              <w:rPr>
                <w:b w:val="0"/>
                <w:i w:val="0"/>
                <w:sz w:val="19"/>
              </w:rPr>
              <w:t xml:space="preserve">, separada de las gráficas clínicas y rotulada por lo que es. Porque lo primero que hay que saber de este número es lo que </w:t>
            </w:r>
            <w:r>
              <w:rPr>
                <w:b/>
                <w:i w:val="0"/>
                <w:sz w:val="19"/>
              </w:rPr>
              <w:t>no</w:t>
            </w:r>
            <w:r>
              <w:rPr>
                <w:b w:val="0"/>
                <w:i w:val="0"/>
                <w:sz w:val="19"/>
              </w:rPr>
              <w:t xml:space="preserve"> es: </w:t>
            </w:r>
            <w:r>
              <w:rPr>
                <w:b/>
                <w:i w:val="0"/>
                <w:sz w:val="19"/>
              </w:rPr>
              <w:t>no mide el lenguaje, no tiene finalidad sanitaria y no entra en ninguna decisión clínica</w:t>
            </w:r>
            <w:r>
              <w:rPr>
                <w:b w:val="0"/>
                <w:i w:val="0"/>
                <w:sz w:val="19"/>
              </w:rPr>
              <w:t xml:space="preserve">; es un apoyo para llevar el ejercicio, y quien valora sigue siendo el adulto con la EPT‑3 (CU‑12). Por dentro, la regla de «¿dijo esta palabra?» estaba escrita </w:t>
            </w:r>
            <w:r>
              <w:rPr>
                <w:b/>
                <w:i w:val="0"/>
                <w:sz w:val="19"/>
              </w:rPr>
              <w:t>dos veces</w:t>
            </w:r>
            <w:r>
              <w:rPr>
                <w:b w:val="0"/>
                <w:i w:val="0"/>
                <w:sz w:val="19"/>
              </w:rPr>
              <w:t xml:space="preserve"> y no eran iguales, así que las láminas podían encenderse enteras y el veredicto decir «casi»; ahora hay una sola, con su gate.</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v14.1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Euskara (batua · ILENIA/NEL‑GAITU) e English (US, en pruebas).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48" name="Picture 48"/>
            <wp:cNvGraphicFramePr>
              <a:graphicFrameLocks noChangeAspect="1"/>
            </wp:cNvGraphicFramePr>
            <a:graphic>
              <a:graphicData uri="http://schemas.openxmlformats.org/drawingml/2006/picture">
                <pic:pic>
                  <pic:nvPicPr>
                    <pic:cNvPr id="0" name="lua-panel-240.png"/>
                    <pic:cNvPicPr/>
                  </pic:nvPicPr>
                  <pic:blipFill>
                    <a:blip r:embed="rId54"/>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