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v12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Euskera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Euskera)</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todavía no existe</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siete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siete bloques de terapia</w:t>
      </w:r>
    </w:p>
    <w:p>
      <w:pPr>
        <w:spacing w:after="120"/>
      </w:pPr>
      <w:r>
        <w:rPr>
          <w:b w:val="0"/>
          <w:i w:val="0"/>
        </w:rPr>
        <w:t xml:space="preserve">Desde la pantalla </w:t>
      </w:r>
      <w:r>
        <w:rPr>
          <w:b/>
          <w:i w:val="0"/>
        </w:rPr>
        <w:t>Prescripción de Terapias</w:t>
      </w:r>
      <w:r>
        <w:rPr>
          <w:b w:val="0"/>
          <w:i w:val="0"/>
        </w:rPr>
        <w:t xml:space="preserve">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7C4FD0"/>
              </w:rPr>
              <w:t xml:space="preserve">■ </w:t>
            </w:r>
            <w:r>
              <w:rPr>
                <w:b/>
                <w:i w:val="0"/>
                <w:sz w:val="19"/>
              </w:rPr>
              <w:t>Pares Mínimos</w:t>
            </w:r>
          </w:p>
        </w:tc>
        <w:tc>
          <w:tcPr>
            <w:tcW w:type="dxa" w:w="4819"/>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shd w:val="clear" w:fill="F7FBFB"/>
          </w:tcPr>
          <w:p>
            <w:pPr>
              <w:spacing w:after="40"/>
            </w:pPr>
            <w:r>
              <w:rPr>
                <w:color w:val="00A39E"/>
              </w:rPr>
              <w:t xml:space="preserve">■ </w:t>
            </w:r>
            <w:r>
              <w:rPr>
                <w:b/>
                <w:i w:val="0"/>
                <w:sz w:val="19"/>
              </w:rPr>
              <w:t>Expansión Semántica</w:t>
            </w:r>
          </w:p>
        </w:tc>
        <w:tc>
          <w:tcPr>
            <w:tcW w:type="dxa" w:w="4819"/>
            <w:shd w:val="clear" w:fill="F7FBFB"/>
          </w:tcPr>
          <w:p>
            <w:pPr>
              <w:spacing w:after="40"/>
            </w:pPr>
            <w:r>
              <w:rPr>
                <w:b w:val="0"/>
                <w:i w:val="0"/>
                <w:sz w:val="19"/>
              </w:rPr>
              <w:t xml:space="preserve">Progresión léxica para intervención temprana: 5 escenarios diarios, </w:t>
            </w:r>
            <w:r>
              <w:rPr>
                <w:b/>
                <w:i w:val="0"/>
                <w:sz w:val="19"/>
              </w:rPr>
              <w:t>9 progresiones</w:t>
            </w:r>
            <w:r>
              <w:rPr>
                <w:b w:val="0"/>
                <w:i w:val="0"/>
                <w:sz w:val="19"/>
              </w:rPr>
              <w:t xml:space="preserve"> (onomatopeya → adjetivo) y </w:t>
            </w:r>
            <w:r>
              <w:rPr>
                <w:b/>
                <w:i w:val="0"/>
                <w:sz w:val="19"/>
              </w:rPr>
              <w:t>8 cápsulas de contraste</w:t>
            </w:r>
            <w:r>
              <w:rPr>
                <w:b w:val="0"/>
                <w:i w:val="0"/>
                <w:sz w:val="19"/>
              </w:rPr>
              <w:t>, uniendo imagen, voz y acción física.</w:t>
            </w:r>
          </w:p>
        </w:tc>
      </w:tr>
      <w:tr>
        <w:tc>
          <w:tcPr>
            <w:tcW w:type="dxa" w:w="4819"/>
          </w:tcPr>
          <w:p>
            <w:pPr>
              <w:spacing w:after="40"/>
            </w:pPr>
            <w:r>
              <w:rPr>
                <w:color w:val="3B6FD4"/>
              </w:rPr>
              <w:t xml:space="preserve">■ </w:t>
            </w:r>
            <w:r>
              <w:rPr>
                <w:b/>
                <w:i w:val="0"/>
                <w:sz w:val="19"/>
              </w:rPr>
              <w:t>Audición</w:t>
            </w:r>
            <w:r>
              <w:rPr>
                <w:b w:val="0"/>
                <w:i w:val="0"/>
                <w:sz w:val="19"/>
              </w:rPr>
              <w:t xml:space="preserve"> — 18 terapias</w:t>
            </w:r>
          </w:p>
        </w:tc>
        <w:tc>
          <w:tcPr>
            <w:tcW w:type="dxa" w:w="4819"/>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shd w:val="clear" w:fill="F7FBFB"/>
          </w:tcPr>
          <w:p>
            <w:pPr>
              <w:spacing w:after="40"/>
            </w:pPr>
            <w:r>
              <w:rPr>
                <w:color w:val="D98A1F"/>
              </w:rPr>
              <w:t xml:space="preserve">■ </w:t>
            </w:r>
            <w:r>
              <w:rPr>
                <w:b/>
                <w:i w:val="0"/>
                <w:sz w:val="19"/>
              </w:rPr>
              <w:t>Lenguaje</w:t>
            </w:r>
            <w:r>
              <w:rPr>
                <w:b w:val="0"/>
                <w:i w:val="0"/>
                <w:sz w:val="19"/>
              </w:rPr>
              <w:t xml:space="preserve"> — 7 terapias</w:t>
            </w:r>
          </w:p>
        </w:tc>
        <w:tc>
          <w:tcPr>
            <w:tcW w:type="dxa" w:w="4819"/>
            <w:shd w:val="clear" w:fill="F7FBFB"/>
          </w:tcPr>
          <w:p>
            <w:pPr>
              <w:spacing w:after="40"/>
            </w:pPr>
            <w:r>
              <w:rPr>
                <w:b w:val="0"/>
                <w:i w:val="0"/>
                <w:sz w:val="19"/>
              </w:rPr>
              <w:t>Protocolo familiar: atención conjunta, imitación, comprensión, expresión, comunicación funcional, regulación conductual e interacción social.</w:t>
            </w:r>
          </w:p>
        </w:tc>
      </w:tr>
      <w:tr>
        <w:tc>
          <w:tcPr>
            <w:tcW w:type="dxa" w:w="4819"/>
          </w:tcPr>
          <w:p>
            <w:pPr>
              <w:spacing w:after="40"/>
            </w:pPr>
            <w:r>
              <w:rPr>
                <w:color w:val="C2477E"/>
              </w:rPr>
              <w:t xml:space="preserve">■ </w:t>
            </w:r>
            <w:r>
              <w:rPr>
                <w:b/>
                <w:i w:val="0"/>
                <w:sz w:val="19"/>
              </w:rPr>
              <w:t>TEA</w:t>
            </w:r>
            <w:r>
              <w:rPr>
                <w:b w:val="0"/>
                <w:i w:val="0"/>
                <w:sz w:val="19"/>
              </w:rPr>
              <w:t xml:space="preserve"> — 6 terapias</w:t>
            </w:r>
          </w:p>
        </w:tc>
        <w:tc>
          <w:tcPr>
            <w:tcW w:type="dxa" w:w="4819"/>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shd w:val="clear" w:fill="F7FBFB"/>
          </w:tcPr>
          <w:p>
            <w:pPr>
              <w:spacing w:after="40"/>
            </w:pPr>
            <w:r>
              <w:rPr>
                <w:color w:val="8B5CF6"/>
              </w:rPr>
              <w:t xml:space="preserve">■ </w:t>
            </w:r>
            <w:r>
              <w:rPr>
                <w:b/>
                <w:i w:val="0"/>
                <w:sz w:val="19"/>
              </w:rPr>
              <w:t>Dislexia</w:t>
            </w:r>
            <w:r>
              <w:rPr>
                <w:b w:val="0"/>
                <w:i w:val="0"/>
                <w:sz w:val="19"/>
              </w:rPr>
              <w:t xml:space="preserve"> — 6 terapias</w:t>
            </w:r>
          </w:p>
        </w:tc>
        <w:tc>
          <w:tcPr>
            <w:tcW w:type="dxa" w:w="4819"/>
            <w:shd w:val="clear" w:fill="F7FBFB"/>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y elección de dibujo con la mirada (AR‑3). El premio en 3D se gana </w:t>
            </w:r>
            <w:r>
              <w:rPr>
                <w:b/>
                <w:i w:val="0"/>
                <w:sz w:val="19"/>
              </w:rPr>
              <w:t>con el gesto, no con la voz</w:t>
            </w:r>
            <w:r>
              <w:rPr>
                <w:b w:val="0"/>
                <w:i w:val="0"/>
                <w:sz w:val="19"/>
              </w:rPr>
              <w:t>; en dos de los tres el micrófono está apagado. Requiere permiso de cámara y una prueba de aptitud del aparato (CU‑18 a CU‑22).</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Frases portadoras</w:t>
            </w:r>
          </w:p>
        </w:tc>
        <w:tc>
          <w:tcPr>
            <w:tcW w:type="dxa" w:w="4819"/>
            <w:shd w:val="clear" w:fill="F7FBFB"/>
          </w:tcPr>
          <w:p>
            <w:pPr>
              <w:spacing w:after="40"/>
            </w:pPr>
            <w:r>
              <w:rPr>
                <w:b w:val="0"/>
                <w:i w:val="0"/>
                <w:sz w:val="19"/>
              </w:rPr>
              <w:t>En Pares Mínimos la palabra objetivo se incrusta en una frase con entonación natural seguida de una pregunta, en vez de dictarse aislada diez veces seguidas.</w:t>
            </w:r>
          </w:p>
        </w:tc>
      </w:tr>
      <w:tr>
        <w:tc>
          <w:tcPr>
            <w:tcW w:type="dxa" w:w="4819"/>
          </w:tcPr>
          <w:p>
            <w:pPr>
              <w:spacing w:after="40"/>
            </w:pPr>
            <w:r>
              <w:rPr>
                <w:b/>
                <w:i w:val="0"/>
                <w:sz w:val="19"/>
              </w:rPr>
              <w:t>Voz humana</w:t>
            </w:r>
          </w:p>
        </w:tc>
        <w:tc>
          <w:tcPr>
            <w:tcW w:type="dxa" w:w="4819"/>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Cuatro variedades de habla con voz neuronal offline</w:t>
      </w:r>
    </w:p>
    <w:p>
      <w:pPr>
        <w:spacing w:after="120"/>
      </w:pPr>
      <w:r>
        <w:rPr>
          <w:b w:val="0"/>
          <w:i w:val="0"/>
        </w:rPr>
        <w:t xml:space="preserve">El contenido terapéutico —lo que se locuta, se muestra y se evalúa— puede trabajarse en </w:t>
      </w:r>
      <w:r>
        <w:rPr>
          <w:b/>
          <w:i w:val="0"/>
        </w:rPr>
        <w:t>cuatro variedades</w:t>
      </w:r>
      <w:r>
        <w:rPr>
          <w:b w:val="0"/>
          <w:i w:val="0"/>
        </w:rPr>
        <w:t xml:space="preserve">; la </w:t>
      </w:r>
      <w:r>
        <w:rPr>
          <w:b/>
          <w:i w:val="0"/>
        </w:rPr>
        <w:t>interfaz</w:t>
      </w:r>
      <w:r>
        <w:rPr>
          <w:b w:val="0"/>
          <w:i w:val="0"/>
        </w:rPr>
        <w:t xml:space="preserve"> (menús y botones) permanece siempre en castellano. Castellano, gallego y euskera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HiTZ‑TTS</w:t>
            </w:r>
            <w:r>
              <w:rPr>
                <w:b w:val="0"/>
                <w:i w:val="0"/>
                <w:sz w:val="19"/>
              </w:rPr>
              <w:t xml:space="preserve"> (UPV/EHU · Aholab).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y la proporción de cápsulas de movimiento saltadas.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séptimo bloque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y una encuesta breve de satisfacción.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siete bloques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Pares Mínimos  →  Expansión Sem.  →  Audición*  →  Lenguaje  →  TEA  →  Dislexia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Pantalla “Prescripción de Terapias”: la tarjeta de Lúa con el progreso y siete tarjetas (Pares Mínimos, Expansión Semántica, Audición, Lenguaje, TEA, Dislexia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(huella, llama, estrella).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Métricas anónimas que la app recoge durante el piloto para medir lo fácil que resulta de usar (tiempo por pantalla, misclicks, abandono de cápsulas). Sin datos personales.</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Lengua o forma del habla en que la app locuta y evalúa el contenido: Castellano, Galego (Proxecto Nós), Dominicano (es‑DO, Quisqueya Habla) o Euskera (batua, proyecto ILENIA/NEL‑GAITU). Se elige en “Voz de la app”.</w:t>
            </w:r>
          </w:p>
        </w:tc>
      </w:tr>
      <w:tr>
        <w:tc>
          <w:tcPr>
            <w:tcW w:type="dxa" w:w="4819"/>
          </w:tcPr>
          <w:p>
            <w:pPr>
              <w:spacing w:after="40"/>
            </w:pPr>
            <w:r>
              <w:rPr>
                <w:b/>
                <w:i w:val="0"/>
                <w:sz w:val="19"/>
              </w:rPr>
              <w:t>Voz neuronal</w:t>
            </w:r>
          </w:p>
        </w:tc>
        <w:tc>
          <w:tcPr>
            <w:tcW w:type="dxa" w:w="4819"/>
          </w:tcPr>
          <w:p>
            <w:pPr>
              <w:spacing w:after="40"/>
            </w:pPr>
            <w:r>
              <w:rPr>
                <w:b w:val="0"/>
                <w:i w:val="0"/>
                <w:sz w:val="19"/>
              </w:rPr>
              <w:t>Locución pregenerada con modelos de voz de alta calidad (Sharvard en castellano, Celtia en gallego, HiTZ‑TTS en euskera) empaquetada en la app; suena natural y funciona sin conexión.</w:t>
            </w:r>
          </w:p>
        </w:tc>
      </w:tr>
      <w:tr>
        <w:tc>
          <w:tcPr>
            <w:tcW w:type="dxa" w:w="4819"/>
            <w:shd w:val="clear" w:fill="F7FBFB"/>
          </w:tcPr>
          <w:p>
            <w:pPr>
              <w:spacing w:after="40"/>
            </w:pPr>
            <w:r>
              <w:rPr>
                <w:b/>
                <w:i w:val="0"/>
                <w:sz w:val="19"/>
              </w:rPr>
              <w:t>Pliegue vasco</w:t>
            </w:r>
          </w:p>
        </w:tc>
        <w:tc>
          <w:tcPr>
            <w:tcW w:type="dxa" w:w="4819"/>
            <w:shd w:val="clear" w:fill="F7FBFB"/>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tcPr>
          <w:p>
            <w:pPr>
              <w:spacing w:after="40"/>
            </w:pPr>
            <w:r>
              <w:rPr>
                <w:b/>
                <w:i w:val="0"/>
                <w:sz w:val="19"/>
              </w:rPr>
              <w:t>TEA</w:t>
            </w:r>
          </w:p>
        </w:tc>
        <w:tc>
          <w:tcPr>
            <w:tcW w:type="dxa" w:w="4819"/>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shd w:val="clear" w:fill="F7FBFB"/>
          </w:tcPr>
          <w:p>
            <w:pPr>
              <w:spacing w:after="40"/>
            </w:pPr>
            <w:r>
              <w:rPr>
                <w:b/>
                <w:i w:val="0"/>
                <w:sz w:val="19"/>
              </w:rPr>
              <w:t>Dislexia</w:t>
            </w:r>
          </w:p>
        </w:tc>
        <w:tc>
          <w:tcPr>
            <w:tcW w:type="dxa" w:w="4819"/>
            <w:shd w:val="clear" w:fill="F7FBFB"/>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tcPr>
          <w:p>
            <w:pPr>
              <w:spacing w:after="40"/>
            </w:pPr>
            <w:r>
              <w:rPr>
                <w:b/>
                <w:i w:val="0"/>
                <w:sz w:val="19"/>
              </w:rPr>
              <w:t>RAN</w:t>
            </w:r>
          </w:p>
        </w:tc>
        <w:tc>
          <w:tcPr>
            <w:tcW w:type="dxa" w:w="4819"/>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shd w:val="clear" w:fill="F7FBFB"/>
          </w:tcPr>
          <w:p>
            <w:pPr>
              <w:spacing w:after="40"/>
            </w:pPr>
            <w:r>
              <w:rPr>
                <w:b/>
                <w:i w:val="0"/>
                <w:sz w:val="19"/>
              </w:rPr>
              <w:t>Escucha en ruido</w:t>
            </w:r>
          </w:p>
        </w:tc>
        <w:tc>
          <w:tcPr>
            <w:tcW w:type="dxa" w:w="4819"/>
            <w:shd w:val="clear" w:fill="F7FBFB"/>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tcPr>
          <w:p>
            <w:pPr>
              <w:spacing w:after="40"/>
            </w:pPr>
            <w:r>
              <w:rPr>
                <w:b/>
                <w:i w:val="0"/>
                <w:sz w:val="19"/>
              </w:rPr>
              <w:t>Rasgo dialectal</w:t>
            </w:r>
          </w:p>
        </w:tc>
        <w:tc>
          <w:tcPr>
            <w:tcW w:type="dxa" w:w="4819"/>
          </w:tcPr>
          <w:p>
            <w:pPr>
              <w:spacing w:after="40"/>
            </w:pPr>
            <w:r>
              <w:rPr>
                <w:b w:val="0"/>
                <w:i w:val="0"/>
                <w:sz w:val="19"/>
              </w:rPr>
              <w:t>Característica normal del habla de una región (p. ej. el seseo dominicano). No es un error clínico y la app no lo penaliza.</w:t>
            </w:r>
          </w:p>
        </w:tc>
      </w:tr>
      <w:tr>
        <w:tc>
          <w:tcPr>
            <w:tcW w:type="dxa" w:w="4819"/>
            <w:shd w:val="clear" w:fill="F7FBFB"/>
          </w:tcPr>
          <w:p>
            <w:pPr>
              <w:spacing w:after="40"/>
            </w:pPr>
            <w:r>
              <w:rPr>
                <w:b/>
                <w:i w:val="0"/>
                <w:sz w:val="19"/>
              </w:rPr>
              <w:t>Frase portadora</w:t>
            </w:r>
          </w:p>
        </w:tc>
        <w:tc>
          <w:tcPr>
            <w:tcW w:type="dxa" w:w="4819"/>
            <w:shd w:val="clear" w:fill="F7FBFB"/>
          </w:tcPr>
          <w:p>
            <w:pPr>
              <w:spacing w:after="40"/>
            </w:pPr>
            <w:r>
              <w:rPr>
                <w:b w:val="0"/>
                <w:i w:val="0"/>
                <w:sz w:val="19"/>
              </w:rPr>
              <w:t>Frase natural en la que se incrusta la palabra objetivo (“El oso encontró una rana…”) para practicarla con entonación real en vez de aislada.</w:t>
            </w:r>
          </w:p>
        </w:tc>
      </w:tr>
      <w:tr>
        <w:tc>
          <w:tcPr>
            <w:tcW w:type="dxa" w:w="4819"/>
          </w:tcPr>
          <w:p>
            <w:pPr>
              <w:spacing w:after="40"/>
            </w:pPr>
            <w:r>
              <w:rPr>
                <w:b/>
                <w:i w:val="0"/>
                <w:sz w:val="19"/>
              </w:rPr>
              <w:t>Carga comunicativa</w:t>
            </w:r>
          </w:p>
        </w:tc>
        <w:tc>
          <w:tcPr>
            <w:tcW w:type="dxa" w:w="4819"/>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shd w:val="clear" w:fill="F7FBFB"/>
          </w:tcPr>
          <w:p>
            <w:pPr>
              <w:spacing w:after="40"/>
            </w:pPr>
            <w:r>
              <w:rPr>
                <w:b/>
                <w:i w:val="0"/>
                <w:sz w:val="19"/>
              </w:rPr>
              <w:t>Quiebre pragmático</w:t>
            </w:r>
          </w:p>
        </w:tc>
        <w:tc>
          <w:tcPr>
            <w:tcW w:type="dxa" w:w="4819"/>
            <w:shd w:val="clear" w:fill="F7FBFB"/>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tcPr>
          <w:p>
            <w:pPr>
              <w:spacing w:after="40"/>
            </w:pPr>
            <w:r>
              <w:rPr>
                <w:b/>
                <w:i w:val="0"/>
                <w:sz w:val="19"/>
              </w:rPr>
              <w:t>Realidad Aumentada (RA)</w:t>
            </w:r>
          </w:p>
        </w:tc>
        <w:tc>
          <w:tcPr>
            <w:tcW w:type="dxa" w:w="4819"/>
          </w:tcPr>
          <w:p>
            <w:pPr>
              <w:spacing w:after="40"/>
            </w:pPr>
            <w:r>
              <w:rPr>
                <w:b w:val="0"/>
                <w:i w:val="0"/>
                <w:sz w:val="19"/>
              </w:rPr>
              <w:t>Séptimo bloque, solo en teléfonos Android. La cámara frontal mide gestos —labios, giro de cabeza, mirada— y esos gestos mueven figuras en 3D. No graba imagen y no identifica a nadie.</w:t>
            </w:r>
          </w:p>
        </w:tc>
      </w:tr>
      <w:tr>
        <w:tc>
          <w:tcPr>
            <w:tcW w:type="dxa" w:w="4819"/>
            <w:shd w:val="clear" w:fill="F7FBFB"/>
          </w:tcPr>
          <w:p>
            <w:pPr>
              <w:spacing w:after="40"/>
            </w:pPr>
            <w:r>
              <w:rPr>
                <w:b/>
                <w:i w:val="0"/>
                <w:sz w:val="19"/>
              </w:rPr>
              <w:t>Prueba de aptitud</w:t>
            </w:r>
          </w:p>
        </w:tc>
        <w:tc>
          <w:tcPr>
            <w:tcW w:type="dxa" w:w="4819"/>
            <w:shd w:val="clear" w:fill="F7FBFB"/>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tcPr>
          <w:p>
            <w:pPr>
              <w:spacing w:after="40"/>
            </w:pPr>
            <w:r>
              <w:rPr>
                <w:b/>
                <w:i w:val="0"/>
                <w:sz w:val="19"/>
              </w:rPr>
              <w:t>Sostén</w:t>
            </w:r>
          </w:p>
        </w:tc>
        <w:tc>
          <w:tcPr>
            <w:tcW w:type="dxa" w:w="4819"/>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shd w:val="clear" w:fill="F7FBFB"/>
          </w:tcPr>
          <w:p>
            <w:pPr>
              <w:spacing w:after="40"/>
            </w:pPr>
            <w:r>
              <w:rPr>
                <w:b/>
                <w:i w:val="0"/>
                <w:sz w:val="19"/>
              </w:rPr>
              <w:t>Fijación (</w:t>
            </w:r>
            <w:r>
              <w:rPr>
                <w:b/>
                <w:i/>
                <w:sz w:val="19"/>
              </w:rPr>
              <w:t>dwell</w:t>
            </w:r>
            <w:r>
              <w:rPr>
                <w:b/>
                <w:i w:val="0"/>
                <w:sz w:val="19"/>
              </w:rPr>
              <w:t>)</w:t>
            </w:r>
          </w:p>
        </w:tc>
        <w:tc>
          <w:tcPr>
            <w:tcW w:type="dxa" w:w="4819"/>
            <w:shd w:val="clear" w:fill="F7FBFB"/>
          </w:tcPr>
          <w:p>
            <w:pPr>
              <w:spacing w:after="40"/>
            </w:pPr>
            <w:r>
              <w:rPr>
                <w:b w:val="0"/>
                <w:i w:val="0"/>
                <w:sz w:val="19"/>
              </w:rPr>
              <w:t>Mantener la mirada sobre un dibujo el tiempo suficiente para elegirlo, sin tocar la pantalla. Es cómo se responde en AR‑3.</w:t>
            </w:r>
          </w:p>
        </w:tc>
      </w:tr>
      <w:tr>
        <w:tc>
          <w:tcPr>
            <w:tcW w:type="dxa" w:w="4819"/>
          </w:tcPr>
          <w:p>
            <w:pPr>
              <w:spacing w:after="40"/>
            </w:pPr>
            <w:r>
              <w:rPr>
                <w:b/>
                <w:i w:val="0"/>
                <w:sz w:val="19"/>
              </w:rPr>
              <w:t>Calibración de mirada</w:t>
            </w:r>
          </w:p>
        </w:tc>
        <w:tc>
          <w:tcPr>
            <w:tcW w:type="dxa" w:w="4819"/>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shd w:val="clear" w:fill="F7FBFB"/>
          </w:tcPr>
          <w:p>
            <w:pPr>
              <w:spacing w:after="40"/>
            </w:pPr>
            <w:r>
              <w:rPr>
                <w:b/>
                <w:i w:val="0"/>
                <w:sz w:val="19"/>
              </w:rPr>
              <w:t>Latencia</w:t>
            </w:r>
          </w:p>
        </w:tc>
        <w:tc>
          <w:tcPr>
            <w:tcW w:type="dxa" w:w="4819"/>
            <w:shd w:val="clear" w:fill="F7FBFB"/>
          </w:tcPr>
          <w:p>
            <w:pPr>
              <w:spacing w:after="40"/>
            </w:pPr>
            <w:r>
              <w:rPr>
                <w:b w:val="0"/>
                <w:i w:val="0"/>
                <w:sz w:val="19"/>
              </w:rPr>
              <w:t>Milisegundos que tarda el niño en girar la cabeza hacia un sonido (AR‑2). Es la versión medible de la pregunta «¿giró?».</w:t>
            </w:r>
          </w:p>
        </w:tc>
      </w:tr>
      <w:tr>
        <w:tc>
          <w:tcPr>
            <w:tcW w:type="dxa" w:w="4819"/>
          </w:tcPr>
          <w:p>
            <w:pPr>
              <w:spacing w:after="40"/>
            </w:pPr>
            <w:r>
              <w:rPr>
                <w:b/>
                <w:i w:val="0"/>
                <w:sz w:val="19"/>
              </w:rPr>
              <w:t>Ensayo trampa</w:t>
            </w:r>
          </w:p>
        </w:tc>
        <w:tc>
          <w:tcPr>
            <w:tcW w:type="dxa" w:w="4819"/>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shd w:val="clear" w:fill="F7FBFB"/>
          </w:tcPr>
          <w:p>
            <w:pPr>
              <w:spacing w:after="40"/>
            </w:pPr>
            <w:r>
              <w:rPr>
                <w:b/>
                <w:i w:val="0"/>
                <w:sz w:val="19"/>
              </w:rPr>
              <w:t>Ensayo anulado</w:t>
            </w:r>
          </w:p>
        </w:tc>
        <w:tc>
          <w:tcPr>
            <w:tcW w:type="dxa" w:w="4819"/>
            <w:shd w:val="clear" w:fill="F7FBFB"/>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a Prescripción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a Prescripción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Prescripción de Terapias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la gata —que se deja acariciar y premiar—, el nivel, lo que falta para el siguiente, la racha y el acceso a los premios. Debajo, los siete bloques como tarjetas, cada una con el color de su bloque y una línea de qué trabaja. Audición, Lenguaje, TEA y Dislexia indican además cuántas terapias hay activas.</w:t>
      </w:r>
    </w:p>
    <w:p>
      <w:pPr>
        <w:pStyle w:val="Heading3"/>
      </w:pPr>
      <w:r>
        <w:t>Flujo principal</w:t>
      </w:r>
    </w:p>
    <w:p>
      <w:pPr>
        <w:pStyle w:val="ListNumber"/>
        <w:spacing w:after="40"/>
      </w:pPr>
      <w:r>
        <w:rPr>
          <w:b w:val="0"/>
          <w:i w:val="0"/>
        </w:rPr>
        <w:t xml:space="preserve">Tocar la tarjeta del bloque deseado: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27-academy-hub.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28-academy-capsulas.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9-academy-lector.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30-academy-quiz.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06-pares-banco.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08-pares-juego.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9-pares-veredict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10-expansion-escenarios.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11-expansion-progresion.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2-expansion-juego.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seis bloques (Pares Mínimos, Expansión Semántica, Audición, Lenguaje, TEA y Dislexia).</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07-pin-profesional.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3-audicion-lista.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16-pacientes.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4-ling-pregun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5-ling-test.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se desbloquea la insignia “Sesión estrella”.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7-ejercicio.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8-evaluacion-ept3.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9-sesion-completada.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Fin de sesión: XP, racha, nivel y promedio EPT‑3.</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«Primera huella» a «Centenaria».</w:t>
            </w:r>
          </w:p>
        </w:tc>
      </w:tr>
      <w:tr>
        <w:tc>
          <w:tcPr>
            <w:tcW w:type="dxa" w:w="4819"/>
            <w:shd w:val="clear" w:fill="F7FBFB"/>
          </w:tcPr>
          <w:p>
            <w:pPr>
              <w:spacing w:after="40"/>
            </w:pPr>
            <w:r>
              <w:rPr>
                <w:b/>
                <w:i w:val="0"/>
                <w:sz w:val="19"/>
              </w:rPr>
              <w:t>Llama</w:t>
            </w:r>
            <w:r>
              <w:rPr>
                <w:b w:val="0"/>
                <w:i w:val="0"/>
                <w:sz w:val="19"/>
              </w:rPr>
              <w:t xml:space="preserve"> · 4 rangos</w:t>
            </w:r>
          </w:p>
        </w:tc>
        <w:tc>
          <w:tcPr>
            <w:tcW w:type="dxa" w:w="4819"/>
            <w:shd w:val="clear" w:fill="F7FBFB"/>
          </w:tcPr>
          <w:p>
            <w:pPr>
              <w:spacing w:after="40"/>
            </w:pPr>
            <w:r>
              <w:rPr>
                <w:b w:val="0"/>
                <w:i w:val="0"/>
                <w:sz w:val="19"/>
              </w:rPr>
              <w:t>Racha sostenida: 3, 7, 14 y 30 días seguidos.</w:t>
            </w:r>
          </w:p>
        </w:tc>
      </w:tr>
      <w:tr>
        <w:tc>
          <w:tcPr>
            <w:tcW w:type="dxa" w:w="4819"/>
          </w:tcPr>
          <w:p>
            <w:pPr>
              <w:spacing w:after="40"/>
            </w:pPr>
            <w:r>
              <w:rPr>
                <w:b/>
                <w:i w:val="0"/>
                <w:sz w:val="19"/>
              </w:rPr>
              <w:t>Estrella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25-premios.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26-premios-insignias.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armario-lu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62897"/>
            <wp:docPr id="30" name="Picture 30"/>
            <wp:cNvGraphicFramePr>
              <a:graphicFrameLocks noChangeAspect="1"/>
            </wp:cNvGraphicFramePr>
            <a:graphic>
              <a:graphicData uri="http://schemas.openxmlformats.org/drawingml/2006/picture">
                <pic:pic>
                  <pic:nvPicPr>
                    <pic:cNvPr id="0" name="lua-caricia.png"/>
                    <pic:cNvPicPr/>
                  </pic:nvPicPr>
                  <pic:blipFill>
                    <a:blip r:embed="rId37"/>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0-resultad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1-resultados-fonema.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y cápsulas de movimiento saltadas)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Euskera)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cuatro variedades</w:t>
      </w:r>
      <w:r>
        <w:rPr>
          <w:b w:val="0"/>
          <w:i w:val="0"/>
        </w:rPr>
        <w:t xml:space="preserve">. La </w:t>
      </w:r>
      <w:r>
        <w:rPr>
          <w:b/>
          <w:i w:val="0"/>
        </w:rPr>
        <w:t>interfaz</w:t>
      </w:r>
      <w:r>
        <w:rPr>
          <w:b w:val="0"/>
          <w:i w:val="0"/>
        </w:rPr>
        <w:t xml:space="preserve"> (menús y botones) sigue en castellano; lo que cambia es </w:t>
      </w:r>
      <w:r>
        <w:rPr>
          <w:b/>
          <w:i w:val="0"/>
        </w:rPr>
        <w:t>lo que se dice, se muestra y se evalúa</w:t>
      </w:r>
      <w:r>
        <w:rPr>
          <w:b w:val="0"/>
          <w:i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HiTZ‑TTS</w:t>
            </w:r>
            <w:r>
              <w:rPr>
                <w:b w:val="0"/>
                <w:i w:val="0"/>
                <w:sz w:val="19"/>
              </w:rPr>
              <w:t xml:space="preserve"> pregenerada (UPV/EHU · Aholab),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o </w:t>
      </w:r>
      <w:r>
        <w:rPr>
          <w:b/>
          <w:i w:val="0"/>
        </w:rPr>
        <w:t>Euskera</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4" name="Picture 34"/>
            <wp:cNvGraphicFramePr>
              <a:graphicFrameLocks noChangeAspect="1"/>
            </wp:cNvGraphicFramePr>
            <a:graphic>
              <a:graphicData uri="http://schemas.openxmlformats.org/drawingml/2006/picture">
                <pic:pic>
                  <pic:nvPicPr>
                    <pic:cNvPr id="0" name="23-panel-adulto.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séptimo bloque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dos de los tres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la osita.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tres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tres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tres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la osita,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tres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llama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Solo métricas </w:t>
            </w:r>
            <w:r>
              <w:rPr>
                <w:b/>
                <w:i w:val="0"/>
                <w:sz w:val="19"/>
              </w:rPr>
              <w:t>anónimas</w:t>
            </w:r>
            <w:r>
              <w:rPr>
                <w:b w:val="0"/>
                <w:i w:val="0"/>
                <w:sz w:val="19"/>
              </w:rPr>
              <w:t xml:space="preserve"> de usabilidad (tiempo por pantalla, misclicks y cápsulas saltadas) y una encuesta breve. </w:t>
            </w:r>
            <w:r>
              <w:rPr>
                <w:b/>
                <w:i w:val="0"/>
                <w:sz w:val="19"/>
              </w:rPr>
              <w:t>No</w:t>
            </w:r>
            <w:r>
              <w:rPr>
                <w:b w:val="0"/>
                <w:i w:val="0"/>
                <w:sz w:val="19"/>
              </w:rPr>
              <w:t xml:space="preserve"> se guardan nombres, ni audio, ni el contenido de las respuestas.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seis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(v12)</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bl>
    <w:p>
      <w:pPr>
        <w:spacing w:after="80"/>
      </w:pPr>
    </w:p>
    <w:p>
      <w:pPr>
        <w:spacing w:after="120"/>
      </w:pPr>
      <w:r>
        <w:rPr>
          <w:b/>
          <w:i w:val="0"/>
        </w:rPr>
        <w:t>Sobre la cobertura de este manual.</w:t>
      </w:r>
      <w:r>
        <w:rPr>
          <w:b w:val="0"/>
          <w:i w:val="0"/>
        </w:rPr>
        <w:t xml:space="preserve"> Los capítulos paso a paso cubren ya </w:t>
      </w:r>
      <w:r>
        <w:rPr>
          <w:b/>
          <w:i w:val="0"/>
        </w:rPr>
        <w:t>los siete bloques</w:t>
      </w:r>
      <w:r>
        <w:rPr>
          <w:b w:val="0"/>
          <w:i w:val="0"/>
        </w:rPr>
        <w:t xml:space="preserve">, incluida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vuelto a tomar sobre la </w:t>
      </w:r>
      <w:r>
        <w:rPr>
          <w:b/>
          <w:i w:val="0"/>
        </w:rPr>
        <w:t>v12</w:t>
      </w:r>
      <w:r>
        <w:rPr>
          <w:b w:val="0"/>
          <w:i w:val="0"/>
        </w:rPr>
        <w:t xml:space="preserve">, con la app en marcha, y muestran la interfaz que la familia tiene hoy delante.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v12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y Euskera (batua · ILENIA/NEL‑GAITU).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todavía no existe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con una comprobación automática que </w:t>
      </w:r>
      <w:r>
        <w:rPr>
          <w:b/>
          <w:i w:val="0"/>
        </w:rPr>
        <w:t>impide compilar</w:t>
      </w:r>
      <w:r>
        <w:rPr>
          <w:b w:val="0"/>
          <w:i w:val="0"/>
        </w:rPr>
        <w:t xml:space="preserve"> si alguno de los dos se desvía del otro.</w:t>
      </w: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En el </w:t>
      </w:r>
      <w:r>
        <w:rPr>
          <w:b/>
          <w:i w:val="0"/>
        </w:rPr>
        <w:t>banco de pruebas</w:t>
      </w:r>
      <w:r>
        <w:rPr>
          <w:b w:val="0"/>
          <w:i w:val="0"/>
        </w:rPr>
        <w:t xml:space="preserve">: antes de fabricar nada hay que comprobar sobre la placa real que la cara reacciona </w:t>
      </w:r>
      <w:r>
        <w:rPr>
          <w:b/>
          <w:i w:val="0"/>
        </w:rPr>
        <w:t>en menos de tres décimas de segundo</w:t>
      </w:r>
      <w:r>
        <w:rPr>
          <w:b w:val="0"/>
          <w:i w:val="0"/>
        </w:rPr>
        <w:t xml:space="preserve"> desde que el adulto pulsa, que la animación se sostiene con fluidez y que la vuelta a reposo funciona </w:t>
      </w:r>
      <w:r>
        <w:rPr>
          <w:b/>
          <w:i w:val="0"/>
        </w:rPr>
        <w:t>cien veces de cien</w:t>
      </w:r>
      <w:r>
        <w:rPr>
          <w:b w:val="0"/>
          <w:i w:val="0"/>
        </w:rPr>
        <w:t>. Si algo de eso no se cumple, el aparato no se hace: una mascota que celebra dos segundos tarde no refuerza nada, y una que se queda animándose sola cuando se pierde la conexión no es admisible.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