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v12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Euskera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Euskera)</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todavía no existe</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siete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siete bloques de terapia</w:t>
      </w:r>
    </w:p>
    <w:p>
      <w:pPr>
        <w:spacing w:after="120"/>
      </w:pPr>
      <w:r>
        <w:rPr>
          <w:b w:val="0"/>
          <w:i w:val="0"/>
        </w:rPr>
        <w:t xml:space="preserve">Desde la pantalla </w:t>
      </w:r>
      <w:r>
        <w:rPr>
          <w:b/>
          <w:i w:val="0"/>
        </w:rPr>
        <w:t>Prescripción de Terapias</w:t>
      </w:r>
      <w:r>
        <w:rPr>
          <w:b w:val="0"/>
          <w:i w:val="0"/>
        </w:rPr>
        <w:t xml:space="preserve">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7C4FD0"/>
              </w:rPr>
              <w:t xml:space="preserve">■ </w:t>
            </w:r>
            <w:r>
              <w:rPr>
                <w:b/>
                <w:i w:val="0"/>
                <w:sz w:val="19"/>
              </w:rPr>
              <w:t>Pares Mínimos</w:t>
            </w:r>
          </w:p>
        </w:tc>
        <w:tc>
          <w:tcPr>
            <w:tcW w:type="dxa" w:w="4819"/>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 xml:space="preserve">Progresión léxica para intervención temprana: 5 escenarios diarios, </w:t>
            </w:r>
            <w:r>
              <w:rPr>
                <w:b/>
                <w:i w:val="0"/>
                <w:sz w:val="19"/>
              </w:rPr>
              <w:t>9 progresiones</w:t>
            </w:r>
            <w:r>
              <w:rPr>
                <w:b w:val="0"/>
                <w:i w:val="0"/>
                <w:sz w:val="19"/>
              </w:rPr>
              <w:t xml:space="preserve"> (onomatopeya → adjetivo) y </w:t>
            </w:r>
            <w:r>
              <w:rPr>
                <w:b/>
                <w:i w:val="0"/>
                <w:sz w:val="19"/>
              </w:rPr>
              <w:t>8 cápsulas de contraste</w:t>
            </w:r>
            <w:r>
              <w:rPr>
                <w:b w:val="0"/>
                <w:i w:val="0"/>
                <w:sz w:val="19"/>
              </w:rPr>
              <w:t>, uniendo imagen, voz y acción física.</w:t>
            </w:r>
          </w:p>
        </w:tc>
      </w:tr>
      <w:tr>
        <w:tc>
          <w:tcPr>
            <w:tcW w:type="dxa" w:w="4819"/>
          </w:tcPr>
          <w:p>
            <w:pPr>
              <w:spacing w:after="40"/>
            </w:pPr>
            <w:r>
              <w:rPr>
                <w:color w:val="3B6FD4"/>
              </w:rPr>
              <w:t xml:space="preserve">■ </w:t>
            </w:r>
            <w:r>
              <w:rPr>
                <w:b/>
                <w:i w:val="0"/>
                <w:sz w:val="19"/>
              </w:rPr>
              <w:t>Audición</w:t>
            </w:r>
            <w:r>
              <w:rPr>
                <w:b w:val="0"/>
                <w:i w:val="0"/>
                <w:sz w:val="19"/>
              </w:rPr>
              <w:t xml:space="preserve"> — 18 terapias</w:t>
            </w:r>
          </w:p>
        </w:tc>
        <w:tc>
          <w:tcPr>
            <w:tcW w:type="dxa" w:w="4819"/>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shd w:val="clear" w:fill="F7FBFB"/>
          </w:tcPr>
          <w:p>
            <w:pPr>
              <w:spacing w:after="40"/>
            </w:pPr>
            <w:r>
              <w:rPr>
                <w:color w:val="D98A1F"/>
              </w:rPr>
              <w:t xml:space="preserve">■ </w:t>
            </w:r>
            <w:r>
              <w:rPr>
                <w:b/>
                <w:i w:val="0"/>
                <w:sz w:val="19"/>
              </w:rPr>
              <w:t>Lenguaje</w:t>
            </w:r>
            <w:r>
              <w:rPr>
                <w:b w:val="0"/>
                <w:i w:val="0"/>
                <w:sz w:val="19"/>
              </w:rPr>
              <w:t xml:space="preserve"> — 7 terapias</w:t>
            </w:r>
          </w:p>
        </w:tc>
        <w:tc>
          <w:tcPr>
            <w:tcW w:type="dxa" w:w="4819"/>
            <w:shd w:val="clear" w:fill="F7FBFB"/>
          </w:tcPr>
          <w:p>
            <w:pPr>
              <w:spacing w:after="40"/>
            </w:pPr>
            <w:r>
              <w:rPr>
                <w:b w:val="0"/>
                <w:i w:val="0"/>
                <w:sz w:val="19"/>
              </w:rPr>
              <w:t>Protocolo familiar: atención conjunta, imitación, comprensión, expresión, comunicación funcional, regulación conductual e interacción social.</w:t>
            </w:r>
          </w:p>
        </w:tc>
      </w:tr>
      <w:tr>
        <w:tc>
          <w:tcPr>
            <w:tcW w:type="dxa" w:w="4819"/>
          </w:tcPr>
          <w:p>
            <w:pPr>
              <w:spacing w:after="40"/>
            </w:pPr>
            <w:r>
              <w:rPr>
                <w:color w:val="C2477E"/>
              </w:rPr>
              <w:t xml:space="preserve">■ </w:t>
            </w:r>
            <w:r>
              <w:rPr>
                <w:b/>
                <w:i w:val="0"/>
                <w:sz w:val="19"/>
              </w:rPr>
              <w:t>TEA</w:t>
            </w:r>
            <w:r>
              <w:rPr>
                <w:b w:val="0"/>
                <w:i w:val="0"/>
                <w:sz w:val="19"/>
              </w:rPr>
              <w:t xml:space="preserve"> — 6 terapias</w:t>
            </w:r>
          </w:p>
        </w:tc>
        <w:tc>
          <w:tcPr>
            <w:tcW w:type="dxa" w:w="4819"/>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shd w:val="clear" w:fill="F7FBFB"/>
          </w:tcPr>
          <w:p>
            <w:pPr>
              <w:spacing w:after="40"/>
            </w:pPr>
            <w:r>
              <w:rPr>
                <w:color w:val="8B5CF6"/>
              </w:rPr>
              <w:t xml:space="preserve">■ </w:t>
            </w:r>
            <w:r>
              <w:rPr>
                <w:b/>
                <w:i w:val="0"/>
                <w:sz w:val="19"/>
              </w:rPr>
              <w:t>Dislexia</w:t>
            </w:r>
            <w:r>
              <w:rPr>
                <w:b w:val="0"/>
                <w:i w:val="0"/>
                <w:sz w:val="19"/>
              </w:rPr>
              <w:t xml:space="preserve"> — 6 terapias</w:t>
            </w:r>
          </w:p>
        </w:tc>
        <w:tc>
          <w:tcPr>
            <w:tcW w:type="dxa" w:w="4819"/>
            <w:shd w:val="clear" w:fill="F7FBFB"/>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Frases portadoras</w:t>
            </w:r>
          </w:p>
        </w:tc>
        <w:tc>
          <w:tcPr>
            <w:tcW w:type="dxa" w:w="4819"/>
            <w:shd w:val="clear" w:fill="F7FBFB"/>
          </w:tcPr>
          <w:p>
            <w:pPr>
              <w:spacing w:after="40"/>
            </w:pPr>
            <w:r>
              <w:rPr>
                <w:b w:val="0"/>
                <w:i w:val="0"/>
                <w:sz w:val="19"/>
              </w:rPr>
              <w:t>En Pares Mínimos la palabra objetivo se incrusta en una frase con entonación natural seguida de una pregunta, en vez de dictarse aislada diez veces seguidas.</w:t>
            </w:r>
          </w:p>
        </w:tc>
      </w:tr>
      <w:tr>
        <w:tc>
          <w:tcPr>
            <w:tcW w:type="dxa" w:w="4819"/>
          </w:tcPr>
          <w:p>
            <w:pPr>
              <w:spacing w:after="40"/>
            </w:pPr>
            <w:r>
              <w:rPr>
                <w:b/>
                <w:i w:val="0"/>
                <w:sz w:val="19"/>
              </w:rPr>
              <w:t>Voz humana</w:t>
            </w:r>
          </w:p>
        </w:tc>
        <w:tc>
          <w:tcPr>
            <w:tcW w:type="dxa" w:w="4819"/>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Cuatro variedades de habla con voz neuronal offline</w:t>
      </w:r>
    </w:p>
    <w:p>
      <w:pPr>
        <w:spacing w:after="120"/>
      </w:pPr>
      <w:r>
        <w:rPr>
          <w:b w:val="0"/>
          <w:i w:val="0"/>
        </w:rPr>
        <w:t xml:space="preserve">El contenido terapéutico —lo que se locuta, se muestra y se evalúa— puede trabajarse en </w:t>
      </w:r>
      <w:r>
        <w:rPr>
          <w:b/>
          <w:i w:val="0"/>
        </w:rPr>
        <w:t>cuatro variedades</w:t>
      </w:r>
      <w:r>
        <w:rPr>
          <w:b w:val="0"/>
          <w:i w:val="0"/>
        </w:rPr>
        <w:t xml:space="preserve">; la </w:t>
      </w:r>
      <w:r>
        <w:rPr>
          <w:b/>
          <w:i w:val="0"/>
        </w:rPr>
        <w:t>interfaz</w:t>
      </w:r>
      <w:r>
        <w:rPr>
          <w:b w:val="0"/>
          <w:i w:val="0"/>
        </w:rPr>
        <w:t xml:space="preserve"> (menús y botones) permanece siempre en castellano. Castellano, gallego y euskera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(UPV/EHU · Aholab).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séptimo bloque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siete bloques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Pares Mínimos  →  Expansión Sem.  →  Audición*  →  Lenguaje  →  TEA  →  Dislexia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Pantalla “Prescripción de Terapias”: la tarjeta de Lúa con el progreso y siete tarjetas (Pares Mínimos, Expansión Semántica, Audición, Lenguaje, TEA, Dislexia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(huella, llama, estrella).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Lengua o forma del habla en que la app locuta y evalúa el contenido: Castellano, Galego (Proxecto Nós), Dominicano (es‑DO, Quisqueya Habla) o Euskera (batua, proyecto ILENIA/NEL‑GAITU). Se elige en “Voz de la app”.</w:t>
            </w:r>
          </w:p>
        </w:tc>
      </w:tr>
      <w:tr>
        <w:tc>
          <w:tcPr>
            <w:tcW w:type="dxa" w:w="4819"/>
          </w:tcPr>
          <w:p>
            <w:pPr>
              <w:spacing w:after="40"/>
            </w:pPr>
            <w:r>
              <w:rPr>
                <w:b/>
                <w:i w:val="0"/>
                <w:sz w:val="19"/>
              </w:rPr>
              <w:t>Voz neuronal</w:t>
            </w:r>
          </w:p>
        </w:tc>
        <w:tc>
          <w:tcPr>
            <w:tcW w:type="dxa" w:w="4819"/>
          </w:tcPr>
          <w:p>
            <w:pPr>
              <w:spacing w:after="40"/>
            </w:pPr>
            <w:r>
              <w:rPr>
                <w:b w:val="0"/>
                <w:i w:val="0"/>
                <w:sz w:val="19"/>
              </w:rPr>
              <w:t>Locución pregenerada con modelos de voz de alta calidad (Sharvard en castellano, Celtia en gallego, HiTZ‑TTS en euskera) empaquetada en la app; suena natural y funciona sin conexión.</w:t>
            </w:r>
          </w:p>
        </w:tc>
      </w:tr>
      <w:tr>
        <w:tc>
          <w:tcPr>
            <w:tcW w:type="dxa" w:w="4819"/>
            <w:shd w:val="clear" w:fill="F7FBFB"/>
          </w:tcPr>
          <w:p>
            <w:pPr>
              <w:spacing w:after="40"/>
            </w:pPr>
            <w:r>
              <w:rPr>
                <w:b/>
                <w:i w:val="0"/>
                <w:sz w:val="19"/>
              </w:rPr>
              <w:t>Pliegue vasco</w:t>
            </w:r>
          </w:p>
        </w:tc>
        <w:tc>
          <w:tcPr>
            <w:tcW w:type="dxa" w:w="4819"/>
            <w:shd w:val="clear" w:fill="F7FBFB"/>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tcPr>
          <w:p>
            <w:pPr>
              <w:spacing w:after="40"/>
            </w:pPr>
            <w:r>
              <w:rPr>
                <w:b/>
                <w:i w:val="0"/>
                <w:sz w:val="19"/>
              </w:rPr>
              <w:t>TEA</w:t>
            </w:r>
          </w:p>
        </w:tc>
        <w:tc>
          <w:tcPr>
            <w:tcW w:type="dxa" w:w="4819"/>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shd w:val="clear" w:fill="F7FBFB"/>
          </w:tcPr>
          <w:p>
            <w:pPr>
              <w:spacing w:after="40"/>
            </w:pPr>
            <w:r>
              <w:rPr>
                <w:b/>
                <w:i w:val="0"/>
                <w:sz w:val="19"/>
              </w:rPr>
              <w:t>Dislexia</w:t>
            </w:r>
          </w:p>
        </w:tc>
        <w:tc>
          <w:tcPr>
            <w:tcW w:type="dxa" w:w="4819"/>
            <w:shd w:val="clear" w:fill="F7FBFB"/>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Frase natural en la que se incrusta la palabra objetivo (“El oso encontró una rana…”) para practicarla con entonación real en vez de aislada.</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Séptimo bloque,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a Prescripción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a Prescripción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Prescripción de Terapias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la gata —que se deja acariciar y premiar—, el nivel, lo que falta para el siguiente, la racha y el acceso a los premios. Debajo, los siete bloques como tarjetas, cada una con el color de su bloque y una línea de qué trabaja. Audición, Lenguaje, TEA y Dislexia indican además cuántas terapias hay activas.</w:t>
      </w:r>
    </w:p>
    <w:p>
      <w:pPr>
        <w:pStyle w:val="Heading3"/>
      </w:pPr>
      <w:r>
        <w:t>Flujo principal</w:t>
      </w:r>
    </w:p>
    <w:p>
      <w:pPr>
        <w:pStyle w:val="ListNumber"/>
        <w:spacing w:after="40"/>
      </w:pPr>
      <w:r>
        <w:rPr>
          <w:b w:val="0"/>
          <w:i w:val="0"/>
        </w:rPr>
        <w:t xml:space="preserve">Tocar la tarjeta del bloque deseado: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27-academy-hub.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28-academy-capsulas.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9-academy-lector.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30-academy-quiz.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06-pares-banco.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08-pares-juego.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9-pares-veredict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10-expansion-escenarios.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11-expansion-progresion.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2-expansion-juego.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seis bloques (Pares Mínimos, Expansión Semántica, Audición, Lenguaje, TEA y Dislexia).</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07-pin-profesional.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3-audicion-lista.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16-pacientes.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4-ling-pregun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5-ling-test.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se desbloquea la insignia “Sesión estrella”.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7-ejercicio.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8-evaluacion-ept3.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9-sesion-completada.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Fin de sesión: XP, racha, nivel y promedio EPT‑3.</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«Primera huella» a «Centenaria».</w:t>
            </w:r>
          </w:p>
        </w:tc>
      </w:tr>
      <w:tr>
        <w:tc>
          <w:tcPr>
            <w:tcW w:type="dxa" w:w="4819"/>
            <w:shd w:val="clear" w:fill="F7FBFB"/>
          </w:tcPr>
          <w:p>
            <w:pPr>
              <w:spacing w:after="40"/>
            </w:pPr>
            <w:r>
              <w:rPr>
                <w:b/>
                <w:i w:val="0"/>
                <w:sz w:val="19"/>
              </w:rPr>
              <w:t>Llama</w:t>
            </w:r>
            <w:r>
              <w:rPr>
                <w:b w:val="0"/>
                <w:i w:val="0"/>
                <w:sz w:val="19"/>
              </w:rPr>
              <w:t xml:space="preserve"> · 4 rangos</w:t>
            </w:r>
          </w:p>
        </w:tc>
        <w:tc>
          <w:tcPr>
            <w:tcW w:type="dxa" w:w="4819"/>
            <w:shd w:val="clear" w:fill="F7FBFB"/>
          </w:tcPr>
          <w:p>
            <w:pPr>
              <w:spacing w:after="40"/>
            </w:pPr>
            <w:r>
              <w:rPr>
                <w:b w:val="0"/>
                <w:i w:val="0"/>
                <w:sz w:val="19"/>
              </w:rPr>
              <w:t>Racha sostenida: 3, 7, 14 y 30 días seguidos.</w:t>
            </w:r>
          </w:p>
        </w:tc>
      </w:tr>
      <w:tr>
        <w:tc>
          <w:tcPr>
            <w:tcW w:type="dxa" w:w="4819"/>
          </w:tcPr>
          <w:p>
            <w:pPr>
              <w:spacing w:after="40"/>
            </w:pPr>
            <w:r>
              <w:rPr>
                <w:b/>
                <w:i w:val="0"/>
                <w:sz w:val="19"/>
              </w:rPr>
              <w:t>Estrella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25-premios.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26-premios-insignias.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armario-lu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62897"/>
            <wp:docPr id="30" name="Picture 30"/>
            <wp:cNvGraphicFramePr>
              <a:graphicFrameLocks noChangeAspect="1"/>
            </wp:cNvGraphicFramePr>
            <a:graphic>
              <a:graphicData uri="http://schemas.openxmlformats.org/drawingml/2006/picture">
                <pic:pic>
                  <pic:nvPicPr>
                    <pic:cNvPr id="0" name="lua-caricia.png"/>
                    <pic:cNvPicPr/>
                  </pic:nvPicPr>
                  <pic:blipFill>
                    <a:blip r:embed="rId37"/>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0-resultad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1-resultados-fonema.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Euskera)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cuatro variedades</w:t>
      </w:r>
      <w:r>
        <w:rPr>
          <w:b w:val="0"/>
          <w:i w:val="0"/>
        </w:rPr>
        <w:t xml:space="preserve">. La </w:t>
      </w:r>
      <w:r>
        <w:rPr>
          <w:b/>
          <w:i w:val="0"/>
        </w:rPr>
        <w:t>interfaz</w:t>
      </w:r>
      <w:r>
        <w:rPr>
          <w:b w:val="0"/>
          <w:i w:val="0"/>
        </w:rPr>
        <w:t xml:space="preserve"> (menús y botones) sigue en castellano; lo que cambia es </w:t>
      </w:r>
      <w:r>
        <w:rPr>
          <w:b/>
          <w:i w:val="0"/>
        </w:rPr>
        <w:t>lo que se dice, se muestra y se evalúa</w:t>
      </w:r>
      <w:r>
        <w:rPr>
          <w:b w:val="0"/>
          <w:i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pregenerada (UPV/EHU · Aholab),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o </w:t>
      </w:r>
      <w:r>
        <w:rPr>
          <w:b/>
          <w:i w:val="0"/>
        </w:rPr>
        <w:t>Euskera</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3-panel-adulto.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séptimo bloque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llama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seis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(v12)</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siete bloques</w:t>
      </w:r>
      <w:r>
        <w:rPr>
          <w:b w:val="0"/>
          <w:i w:val="0"/>
        </w:rPr>
        <w:t xml:space="preserve">, incluida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vuelto a tomar sobre la </w:t>
      </w:r>
      <w:r>
        <w:rPr>
          <w:b/>
          <w:i w:val="0"/>
        </w:rPr>
        <w:t>v12</w:t>
      </w:r>
      <w:r>
        <w:rPr>
          <w:b w:val="0"/>
          <w:i w:val="0"/>
        </w:rPr>
        <w:t xml:space="preserve">, con la app en marcha, y muestran la interfaz que la familia tiene hoy delante.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v12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y Euskera (batua · ILENIA/NEL‑GAITU).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todavía no existe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redonda por cara, conectado por Bluetooth a Valeria+.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En el </w:t>
      </w:r>
      <w:r>
        <w:rPr>
          <w:b/>
          <w:i w:val="0"/>
        </w:rPr>
        <w:t>banco de pruebas</w:t>
      </w:r>
      <w:r>
        <w:rPr>
          <w:b w:val="0"/>
          <w:i w:val="0"/>
        </w:rPr>
        <w:t xml:space="preserve">: antes de fabricar nada hay que comprobar sobre la placa real que la cara reacciona </w:t>
      </w:r>
      <w:r>
        <w:rPr>
          <w:b/>
          <w:i w:val="0"/>
        </w:rPr>
        <w:t>en menos de tres décimas de segundo</w:t>
      </w:r>
      <w:r>
        <w:rPr>
          <w:b w:val="0"/>
          <w:i w:val="0"/>
        </w:rPr>
        <w:t xml:space="preserve"> desde que el adulto pulsa, que la animación se sostiene con fluidez y que la vuelta a reposo funciona </w:t>
      </w:r>
      <w:r>
        <w:rPr>
          <w:b/>
          <w:i w:val="0"/>
        </w:rPr>
        <w:t>cien veces de cien</w:t>
      </w:r>
      <w:r>
        <w:rPr>
          <w:b w:val="0"/>
          <w:i w:val="0"/>
        </w:rPr>
        <w:t>. Si algo de eso no se cumple, el aparato no se hace: una mascota que celebra dos segundos tarde no refuerza nada, y una que se queda animándose sola cuando se pierde la conexión no es admisible.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