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0E0D1EE6" w:rsidR="00612264" w:rsidRPr="0081184B" w:rsidRDefault="000E5EA2" w:rsidP="00EE5EB7">
      <w:pPr>
        <w:pStyle w:val="Heading1"/>
      </w:pPr>
      <w:r w:rsidRPr="000E5EA2">
        <w:drawing>
          <wp:anchor distT="0" distB="0" distL="114300" distR="114300" simplePos="0" relativeHeight="251659264" behindDoc="0" locked="0" layoutInCell="1" allowOverlap="1" wp14:anchorId="3C57CCE7" wp14:editId="7CFB966D">
            <wp:simplePos x="0" y="0"/>
            <wp:positionH relativeFrom="column">
              <wp:posOffset>-793750</wp:posOffset>
            </wp:positionH>
            <wp:positionV relativeFrom="paragraph">
              <wp:posOffset>74295</wp:posOffset>
            </wp:positionV>
            <wp:extent cx="476250" cy="47625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0C5"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E44C82">
        <w:t xml:space="preserve"> and </w:t>
      </w:r>
      <w:proofErr w:type="spellStart"/>
      <w:r w:rsidR="00E44C82">
        <w:t>minimalVerze</w:t>
      </w:r>
      <w:proofErr w:type="spellEnd"/>
      <w:r w:rsidR="00E44C82">
        <w:t xml:space="preserve"> == </w:t>
      </w:r>
      <w:r w:rsidR="00E44C82" w:rsidRPr="0081184B">
        <w:t>‘</w:t>
      </w:r>
      <w:proofErr w:type="spellStart"/>
      <w:r w:rsidR="00E44C82">
        <w:t>False</w:t>
      </w:r>
      <w:proofErr w:type="spellEnd"/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12622103" w:rsidR="00EA6C63" w:rsidRDefault="00193CA4" w:rsidP="724D2217">
      <w:pPr>
        <w:pStyle w:val="Psmeno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minimalVerze</w:t>
      </w:r>
      <w:proofErr w:type="spellEnd"/>
      <w:r>
        <w:rPr>
          <w:lang w:val="en-GB"/>
        </w:rPr>
        <w:t xml:space="preserve"> == ‘False’ </w:t>
      </w:r>
      <w:proofErr w:type="gramStart"/>
      <w:r>
        <w:rPr>
          <w:lang w:val="en-GB"/>
        </w:rPr>
        <w:t>%}</w:t>
      </w:r>
      <w:r w:rsidR="00EA6C63" w:rsidRPr="00EA6C63">
        <w:t>{</w:t>
      </w:r>
      <w:proofErr w:type="gramEnd"/>
      <w:r w:rsidR="00EA6C63" w:rsidRPr="00EA6C63">
        <w:t xml:space="preserve">%p </w:t>
      </w:r>
      <w:proofErr w:type="spellStart"/>
      <w:r w:rsidR="00EA6C63" w:rsidRPr="00EA6C63">
        <w:t>if</w:t>
      </w:r>
      <w:proofErr w:type="spellEnd"/>
      <w:r w:rsidR="00EA6C63" w:rsidRPr="00EA6C63">
        <w:t xml:space="preserve"> </w:t>
      </w:r>
      <w:proofErr w:type="spellStart"/>
      <w:r>
        <w:t>hospCinnost</w:t>
      </w:r>
      <w:proofErr w:type="spellEnd"/>
      <w:r>
        <w:t xml:space="preserve"> </w:t>
      </w:r>
      <w:r w:rsidR="00EA6C63" w:rsidRPr="00EA6C63">
        <w:t>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61B15EA0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</w:t>
      </w:r>
      <w:proofErr w:type="gramStart"/>
      <w:r w:rsidRPr="0081184B">
        <w:rPr>
          <w:rFonts w:eastAsia="Gill Sans MT" w:cs="Gill Sans MT"/>
          <w:szCs w:val="24"/>
        </w:rPr>
        <w:t>%}</w:t>
      </w:r>
      <w:r w:rsidR="00193CA4" w:rsidRPr="0081184B">
        <w:rPr>
          <w:rFonts w:eastAsia="Gill Sans MT" w:cs="Gill Sans MT"/>
          <w:szCs w:val="24"/>
        </w:rPr>
        <w:t>{</w:t>
      </w:r>
      <w:proofErr w:type="gramEnd"/>
      <w:r w:rsidR="00193CA4" w:rsidRPr="0081184B">
        <w:rPr>
          <w:rFonts w:eastAsia="Gill Sans MT" w:cs="Gill Sans MT"/>
          <w:szCs w:val="24"/>
        </w:rPr>
        <w:t xml:space="preserve">%p </w:t>
      </w:r>
      <w:proofErr w:type="spellStart"/>
      <w:r w:rsidR="00193CA4" w:rsidRPr="0081184B">
        <w:rPr>
          <w:rFonts w:eastAsia="Gill Sans MT" w:cs="Gill Sans MT"/>
          <w:szCs w:val="24"/>
        </w:rPr>
        <w:t>endif</w:t>
      </w:r>
      <w:proofErr w:type="spellEnd"/>
      <w:r w:rsidR="00193CA4"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6B27D14B" w:rsidR="004749CB" w:rsidRPr="0081184B" w:rsidRDefault="000E5EA2" w:rsidP="004749CB">
      <w:pPr>
        <w:pStyle w:val="Heading1"/>
      </w:pPr>
      <w:r w:rsidRPr="000E5EA2">
        <w:drawing>
          <wp:anchor distT="0" distB="0" distL="114300" distR="114300" simplePos="0" relativeHeight="251658240" behindDoc="0" locked="0" layoutInCell="1" allowOverlap="1" wp14:anchorId="3C6359D1" wp14:editId="6A1FCF05">
            <wp:simplePos x="0" y="0"/>
            <wp:positionH relativeFrom="column">
              <wp:posOffset>-793750</wp:posOffset>
            </wp:positionH>
            <wp:positionV relativeFrom="paragraph">
              <wp:posOffset>76835</wp:posOffset>
            </wp:positionV>
            <wp:extent cx="476250" cy="47625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4D2217"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66872E1B" w:rsidR="007E10C5" w:rsidRPr="0081184B" w:rsidRDefault="000E5EA2" w:rsidP="007E10C5">
      <w:pPr>
        <w:pStyle w:val="Heading1"/>
      </w:pPr>
      <w:r w:rsidRPr="000E5EA2">
        <w:drawing>
          <wp:anchor distT="0" distB="0" distL="114300" distR="114300" simplePos="0" relativeHeight="251660288" behindDoc="0" locked="0" layoutInCell="1" allowOverlap="1" wp14:anchorId="3D4055EF" wp14:editId="2A196782">
            <wp:simplePos x="0" y="0"/>
            <wp:positionH relativeFrom="column">
              <wp:posOffset>-822325</wp:posOffset>
            </wp:positionH>
            <wp:positionV relativeFrom="paragraph">
              <wp:posOffset>79375</wp:posOffset>
            </wp:positionV>
            <wp:extent cx="476250" cy="476250"/>
            <wp:effectExtent l="0" t="0" r="0" b="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4D2217"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37B682FA" w:rsidR="00B751D2" w:rsidRPr="0081184B" w:rsidRDefault="000E5EA2" w:rsidP="00B751D2">
      <w:pPr>
        <w:pStyle w:val="Heading1"/>
      </w:pPr>
      <w:r w:rsidRPr="000E5EA2">
        <w:drawing>
          <wp:anchor distT="0" distB="0" distL="114300" distR="114300" simplePos="0" relativeHeight="251661312" behindDoc="0" locked="0" layoutInCell="1" allowOverlap="1" wp14:anchorId="066219EA" wp14:editId="231A30B8">
            <wp:simplePos x="0" y="0"/>
            <wp:positionH relativeFrom="column">
              <wp:posOffset>-879475</wp:posOffset>
            </wp:positionH>
            <wp:positionV relativeFrom="paragraph">
              <wp:posOffset>79375</wp:posOffset>
            </wp:positionV>
            <wp:extent cx="476250" cy="47625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4D2217"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9"/>
      <w:footerReference w:type="first" r:id="rId20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D378A" w14:textId="77777777" w:rsidR="000C6ED8" w:rsidRDefault="000C6ED8" w:rsidP="00FD4380">
      <w:pPr>
        <w:spacing w:line="240" w:lineRule="auto"/>
      </w:pPr>
      <w:r>
        <w:separator/>
      </w:r>
    </w:p>
  </w:endnote>
  <w:endnote w:type="continuationSeparator" w:id="0">
    <w:p w14:paraId="4C6115C6" w14:textId="77777777" w:rsidR="000C6ED8" w:rsidRDefault="000C6ED8" w:rsidP="00FD4380">
      <w:pPr>
        <w:spacing w:line="240" w:lineRule="auto"/>
      </w:pPr>
      <w:r>
        <w:continuationSeparator/>
      </w:r>
    </w:p>
  </w:endnote>
  <w:endnote w:type="continuationNotice" w:id="1">
    <w:p w14:paraId="1C3FC0C5" w14:textId="77777777" w:rsidR="000C6ED8" w:rsidRDefault="000C6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21C33CD0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0E5EA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FDD5E" w14:textId="77777777" w:rsidR="000C6ED8" w:rsidRDefault="000C6ED8" w:rsidP="00FD4380">
      <w:pPr>
        <w:spacing w:line="240" w:lineRule="auto"/>
      </w:pPr>
      <w:r>
        <w:separator/>
      </w:r>
    </w:p>
  </w:footnote>
  <w:footnote w:type="continuationSeparator" w:id="0">
    <w:p w14:paraId="0366D142" w14:textId="77777777" w:rsidR="000C6ED8" w:rsidRDefault="000C6ED8" w:rsidP="00FD4380">
      <w:pPr>
        <w:spacing w:line="240" w:lineRule="auto"/>
      </w:pPr>
      <w:r>
        <w:continuationSeparator/>
      </w:r>
    </w:p>
  </w:footnote>
  <w:footnote w:type="continuationNotice" w:id="1">
    <w:p w14:paraId="5014A431" w14:textId="77777777" w:rsidR="000C6ED8" w:rsidRDefault="000C6E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2021-03-11T20:04:00Z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