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59DC" w14:textId="04AB02C9" w:rsidR="00C330B5" w:rsidRDefault="00C330B5">
      <w:pPr>
        <w:rPr>
          <w:color w:val="4472C4" w:themeColor="accent1"/>
          <w:sz w:val="28"/>
          <w:szCs w:val="28"/>
        </w:rPr>
      </w:pPr>
      <w:r w:rsidRPr="00C330B5">
        <w:rPr>
          <w:rFonts w:ascii="Times New Roman" w:hAnsi="Times New Roman" w:cs="Times New Roman"/>
          <w:sz w:val="28"/>
          <w:szCs w:val="2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8F517" wp14:editId="1D3C8C5C">
                <wp:simplePos x="0" y="0"/>
                <wp:positionH relativeFrom="column">
                  <wp:posOffset>-297180</wp:posOffset>
                </wp:positionH>
                <wp:positionV relativeFrom="paragraph">
                  <wp:posOffset>-669290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90B4" w14:textId="77777777" w:rsidR="00C330B5" w:rsidRDefault="00C330B5" w:rsidP="00C330B5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A8F517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3.4pt;margin-top:-52.7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" filled="f" stroked="f">
                <v:textbox style="mso-fit-shape-to-text:t">
                  <w:txbxContent>
                    <w:p w14:paraId="050590B4" w14:textId="77777777" w:rsidR="00C330B5" w:rsidRDefault="00C330B5" w:rsidP="00C330B5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C330B5">
        <w:rPr>
          <w:color w:val="4472C4" w:themeColor="accent1"/>
          <w:sz w:val="28"/>
          <w:szCs w:val="28"/>
        </w:rPr>
        <w:t>Investiga y explica las causas o factores que se pueden destacar en el riesgo laboral y realiza un organizador gráfico</w:t>
      </w:r>
    </w:p>
    <w:p w14:paraId="5B8F2182" w14:textId="0B422C52" w:rsidR="006A13E5" w:rsidRPr="00C330B5" w:rsidRDefault="006A13E5">
      <w:pPr>
        <w:rPr>
          <w:rFonts w:ascii="Times New Roman" w:hAnsi="Times New Roman" w:cs="Times New Roman"/>
          <w:sz w:val="28"/>
          <w:szCs w:val="28"/>
          <w:lang w:eastAsia="es-EC"/>
        </w:rPr>
      </w:pPr>
    </w:p>
    <w:sectPr w:rsidR="006A13E5" w:rsidRPr="00C33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82"/>
    <w:rsid w:val="00057282"/>
    <w:rsid w:val="006A13E5"/>
    <w:rsid w:val="00A54AAB"/>
    <w:rsid w:val="00C3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2486"/>
  <w15:chartTrackingRefBased/>
  <w15:docId w15:val="{F5F72B09-8FE7-4985-AF28-2C2871D2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B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2020-09-09T22:31:00Z</dcterms:created>
  <dcterms:modified xsi:type="dcterms:W3CDTF">2020-09-09T22:51:00Z</dcterms:modified>
</cp:coreProperties>
</file>