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40" w:before="260" w:lineRule="auto"/>
        <w:ind w:left="0" w:firstLine="0"/>
        <w:jc w:val="center"/>
        <w:rPr>
          <w:sz w:val="30"/>
          <w:szCs w:val="30"/>
        </w:rPr>
      </w:pPr>
      <w:r w:rsidDel="00000000" w:rsidR="00000000" w:rsidRPr="00000000">
        <w:rPr>
          <w:sz w:val="30"/>
          <w:szCs w:val="30"/>
          <w:rtl w:val="0"/>
        </w:rPr>
        <w:t xml:space="preserve">DL Competition3 Team16 Report</w:t>
      </w:r>
    </w:p>
    <w:p w:rsidR="00000000" w:rsidDel="00000000" w:rsidP="00000000" w:rsidRDefault="00000000" w:rsidRPr="00000000" w14:paraId="00000002">
      <w:pPr>
        <w:spacing w:after="140" w:before="260" w:line="240" w:lineRule="auto"/>
        <w:ind w:lef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周聖諺 Shen-Yen Chou </w:t>
      </w:r>
    </w:p>
    <w:p w:rsidR="00000000" w:rsidDel="00000000" w:rsidP="00000000" w:rsidRDefault="00000000" w:rsidRPr="00000000" w14:paraId="00000003">
      <w:pPr>
        <w:spacing w:after="140" w:before="260" w:line="240" w:lineRule="auto"/>
        <w:ind w:lef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余孟旂 Meng-Chi Yu</w:t>
      </w:r>
    </w:p>
    <w:p w:rsidR="00000000" w:rsidDel="00000000" w:rsidP="00000000" w:rsidRDefault="00000000" w:rsidRPr="00000000" w14:paraId="00000004">
      <w:pPr>
        <w:spacing w:after="140" w:before="260" w:line="240" w:lineRule="auto"/>
        <w:ind w:lef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馮翔荏 FENG-XIANG REN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1.  </w:t>
      </w:r>
    </w:p>
    <w:p w:rsidR="00000000" w:rsidDel="00000000" w:rsidP="00000000" w:rsidRDefault="00000000" w:rsidRPr="00000000" w14:paraId="00000007">
      <w:pPr>
        <w:numPr>
          <w:ilvl w:val="0"/>
          <w:numId w:val="2"/>
        </w:numPr>
        <w:ind w:left="720" w:hanging="360"/>
        <w:rPr>
          <w:sz w:val="26"/>
          <w:szCs w:val="26"/>
        </w:rPr>
      </w:pPr>
      <w:r w:rsidDel="00000000" w:rsidR="00000000" w:rsidRPr="00000000">
        <w:rPr>
          <w:sz w:val="26"/>
          <w:szCs w:val="26"/>
          <w:rtl w:val="0"/>
        </w:rPr>
        <w:t xml:space="preserve">caption: white petals that become yellow as they go to the center where there is an orange stamen. </w:t>
      </w:r>
      <w:r w:rsidDel="00000000" w:rsidR="00000000" w:rsidRPr="00000000">
        <w:rPr/>
        <w:drawing>
          <wp:inline distB="114300" distT="114300" distL="114300" distR="114300">
            <wp:extent cx="5210175" cy="609600"/>
            <wp:effectExtent b="0" l="0" r="0" t="0"/>
            <wp:docPr id="3"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52101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2"/>
        </w:numPr>
        <w:ind w:left="720" w:hanging="360"/>
        <w:rPr>
          <w:sz w:val="26"/>
          <w:szCs w:val="26"/>
        </w:rPr>
      </w:pPr>
      <w:r w:rsidDel="00000000" w:rsidR="00000000" w:rsidRPr="00000000">
        <w:rPr>
          <w:sz w:val="26"/>
          <w:szCs w:val="26"/>
          <w:rtl w:val="0"/>
        </w:rPr>
        <w:t xml:space="preserve">caption: the flower has a large bright orange petal with pink anther </w:t>
      </w:r>
    </w:p>
    <w:p w:rsidR="00000000" w:rsidDel="00000000" w:rsidP="00000000" w:rsidRDefault="00000000" w:rsidRPr="00000000" w14:paraId="00000009">
      <w:pPr>
        <w:rPr>
          <w:sz w:val="26"/>
          <w:szCs w:val="26"/>
        </w:rPr>
      </w:pPr>
      <w:r w:rsidDel="00000000" w:rsidR="00000000" w:rsidRPr="00000000">
        <w:rPr>
          <w:sz w:val="26"/>
          <w:szCs w:val="26"/>
          <w:rtl w:val="0"/>
        </w:rPr>
        <w:tab/>
      </w:r>
      <w:r w:rsidDel="00000000" w:rsidR="00000000" w:rsidRPr="00000000">
        <w:rPr>
          <w:sz w:val="26"/>
          <w:szCs w:val="26"/>
        </w:rPr>
        <w:drawing>
          <wp:inline distB="114300" distT="114300" distL="114300" distR="114300">
            <wp:extent cx="5214938" cy="609600"/>
            <wp:effectExtent b="0" l="0" r="0" t="0"/>
            <wp:docPr id="4"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214938"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2"/>
        </w:numPr>
        <w:ind w:left="720" w:hanging="360"/>
        <w:rPr>
          <w:sz w:val="26"/>
          <w:szCs w:val="26"/>
        </w:rPr>
      </w:pPr>
      <w:r w:rsidDel="00000000" w:rsidR="00000000" w:rsidRPr="00000000">
        <w:rPr>
          <w:sz w:val="26"/>
          <w:szCs w:val="26"/>
          <w:rtl w:val="0"/>
        </w:rPr>
        <w:t xml:space="preserve">caption: the pedicel on this flower is purple with a green sepal and rose colored petals </w:t>
      </w:r>
    </w:p>
    <w:p w:rsidR="00000000" w:rsidDel="00000000" w:rsidP="00000000" w:rsidRDefault="00000000" w:rsidRPr="00000000" w14:paraId="0000000B">
      <w:pPr>
        <w:rPr>
          <w:sz w:val="26"/>
          <w:szCs w:val="26"/>
        </w:rPr>
      </w:pPr>
      <w:r w:rsidDel="00000000" w:rsidR="00000000" w:rsidRPr="00000000">
        <w:rPr>
          <w:sz w:val="26"/>
          <w:szCs w:val="26"/>
          <w:rtl w:val="0"/>
        </w:rPr>
        <w:tab/>
      </w:r>
      <w:r w:rsidDel="00000000" w:rsidR="00000000" w:rsidRPr="00000000">
        <w:rPr>
          <w:sz w:val="26"/>
          <w:szCs w:val="26"/>
        </w:rPr>
        <w:drawing>
          <wp:inline distB="114300" distT="114300" distL="114300" distR="114300">
            <wp:extent cx="5210175" cy="609600"/>
            <wp:effectExtent b="0" l="0" r="0" t="0"/>
            <wp:docPr id="5"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2101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2"/>
        </w:numPr>
        <w:ind w:left="720" w:hanging="360"/>
        <w:rPr>
          <w:sz w:val="26"/>
          <w:szCs w:val="26"/>
        </w:rPr>
      </w:pPr>
      <w:r w:rsidDel="00000000" w:rsidR="00000000" w:rsidRPr="00000000">
        <w:rPr>
          <w:sz w:val="26"/>
          <w:szCs w:val="26"/>
          <w:rtl w:val="0"/>
        </w:rPr>
        <w:t xml:space="preserve">caption: this flower is white and yellow in color with petals that are rounded at the edges </w:t>
      </w:r>
    </w:p>
    <w:p w:rsidR="00000000" w:rsidDel="00000000" w:rsidP="00000000" w:rsidRDefault="00000000" w:rsidRPr="00000000" w14:paraId="0000000D">
      <w:pPr>
        <w:rPr>
          <w:sz w:val="26"/>
          <w:szCs w:val="26"/>
        </w:rPr>
      </w:pPr>
      <w:r w:rsidDel="00000000" w:rsidR="00000000" w:rsidRPr="00000000">
        <w:rPr>
          <w:sz w:val="26"/>
          <w:szCs w:val="26"/>
          <w:rtl w:val="0"/>
        </w:rPr>
        <w:tab/>
      </w:r>
      <w:r w:rsidDel="00000000" w:rsidR="00000000" w:rsidRPr="00000000">
        <w:rPr>
          <w:sz w:val="26"/>
          <w:szCs w:val="26"/>
        </w:rPr>
        <w:drawing>
          <wp:inline distB="114300" distT="114300" distL="114300" distR="114300">
            <wp:extent cx="5210175" cy="609600"/>
            <wp:effectExtent b="0" l="0" r="0" t="0"/>
            <wp:docPr id="7"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2101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2"/>
        </w:numPr>
        <w:ind w:left="720" w:hanging="360"/>
        <w:rPr>
          <w:sz w:val="26"/>
          <w:szCs w:val="26"/>
        </w:rPr>
      </w:pPr>
      <w:r w:rsidDel="00000000" w:rsidR="00000000" w:rsidRPr="00000000">
        <w:rPr>
          <w:sz w:val="26"/>
          <w:szCs w:val="26"/>
          <w:rtl w:val="0"/>
        </w:rPr>
        <w:t xml:space="preserve">caption: lavender and white pedal and yellow small flower in the middle of the pedals</w:t>
      </w:r>
    </w:p>
    <w:p w:rsidR="00000000" w:rsidDel="00000000" w:rsidP="00000000" w:rsidRDefault="00000000" w:rsidRPr="00000000" w14:paraId="0000000F">
      <w:pPr>
        <w:rPr>
          <w:sz w:val="26"/>
          <w:szCs w:val="26"/>
        </w:rPr>
      </w:pPr>
      <w:r w:rsidDel="00000000" w:rsidR="00000000" w:rsidRPr="00000000">
        <w:rPr>
          <w:sz w:val="26"/>
          <w:szCs w:val="26"/>
          <w:rtl w:val="0"/>
        </w:rPr>
        <w:tab/>
      </w:r>
      <w:r w:rsidDel="00000000" w:rsidR="00000000" w:rsidRPr="00000000">
        <w:rPr>
          <w:sz w:val="26"/>
          <w:szCs w:val="26"/>
        </w:rPr>
        <w:drawing>
          <wp:inline distB="114300" distT="114300" distL="114300" distR="114300">
            <wp:extent cx="5210175" cy="609600"/>
            <wp:effectExtent b="0" l="0" r="0" t="0"/>
            <wp:docPr id="6"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2101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sz w:val="26"/>
          <w:szCs w:val="26"/>
        </w:rPr>
      </w:pPr>
      <w:r w:rsidDel="00000000" w:rsidR="00000000" w:rsidRPr="00000000">
        <w:rPr>
          <w:rtl w:val="0"/>
        </w:rPr>
        <w:t xml:space="preserve">2. </w:t>
      </w:r>
      <w:r w:rsidDel="00000000" w:rsidR="00000000" w:rsidRPr="00000000">
        <w:rPr>
          <w:sz w:val="26"/>
          <w:szCs w:val="26"/>
          <w:rtl w:val="0"/>
        </w:rPr>
        <w:t xml:space="preserve">Models we’ve tried</w:t>
      </w:r>
    </w:p>
    <w:p w:rsidR="00000000" w:rsidDel="00000000" w:rsidP="00000000" w:rsidRDefault="00000000" w:rsidRPr="00000000" w14:paraId="0000001A">
      <w:pPr>
        <w:numPr>
          <w:ilvl w:val="0"/>
          <w:numId w:val="3"/>
        </w:numPr>
        <w:ind w:left="720" w:hanging="360"/>
        <w:rPr>
          <w:sz w:val="26"/>
          <w:szCs w:val="26"/>
        </w:rPr>
      </w:pPr>
      <w:r w:rsidDel="00000000" w:rsidR="00000000" w:rsidRPr="00000000">
        <w:rPr>
          <w:sz w:val="26"/>
          <w:szCs w:val="26"/>
          <w:rtl w:val="0"/>
        </w:rPr>
        <w:t xml:space="preserve">MirrorGAN</w:t>
      </w:r>
    </w:p>
    <w:p w:rsidR="00000000" w:rsidDel="00000000" w:rsidP="00000000" w:rsidRDefault="00000000" w:rsidRPr="00000000" w14:paraId="0000001B">
      <w:pPr>
        <w:ind w:left="720" w:firstLine="0"/>
        <w:rPr>
          <w:sz w:val="26"/>
          <w:szCs w:val="26"/>
        </w:rPr>
      </w:pPr>
      <w:r w:rsidDel="00000000" w:rsidR="00000000" w:rsidRPr="00000000">
        <w:rPr>
          <w:sz w:val="26"/>
          <w:szCs w:val="26"/>
          <w:rtl w:val="0"/>
        </w:rPr>
        <w:t xml:space="preserve">The model consists of three modules: a semantic text embedding module (STEM), a global-local collaborative attentive module for cascaded image generation (GLAM), and a semantic text regeneration and alignment module (STREAM). STEM generates word- and sentence-level embeddings. GLAM has a cascaded architecture for generating target images from coarse to fine scales, leveraging both local word attention and global sentence attention to progressively enhance the diversity and semantic consistency of the generated images. STREAM seeks to regenerate the text description from the generated image, which semantically aligns with the given text description.</w:t>
      </w:r>
    </w:p>
    <w:p w:rsidR="00000000" w:rsidDel="00000000" w:rsidP="00000000" w:rsidRDefault="00000000" w:rsidRPr="00000000" w14:paraId="0000001C">
      <w:pPr>
        <w:ind w:left="720" w:firstLine="0"/>
        <w:rPr>
          <w:sz w:val="26"/>
          <w:szCs w:val="26"/>
        </w:rPr>
      </w:pPr>
      <w:r w:rsidDel="00000000" w:rsidR="00000000" w:rsidRPr="00000000">
        <w:rPr>
          <w:rtl w:val="0"/>
        </w:rPr>
      </w:r>
    </w:p>
    <w:p w:rsidR="00000000" w:rsidDel="00000000" w:rsidP="00000000" w:rsidRDefault="00000000" w:rsidRPr="00000000" w14:paraId="0000001D">
      <w:pPr>
        <w:ind w:left="720" w:firstLine="0"/>
        <w:rPr>
          <w:sz w:val="26"/>
          <w:szCs w:val="26"/>
        </w:rPr>
      </w:pPr>
      <w:r w:rsidDel="00000000" w:rsidR="00000000" w:rsidRPr="00000000">
        <w:rPr>
          <w:sz w:val="26"/>
          <w:szCs w:val="26"/>
          <w:rtl w:val="0"/>
        </w:rPr>
        <w:t xml:space="preserve">After we tried self-attention-gan, we found a better version which improved the loss function. But we observed that it took much time to train, so we gave up this model.</w:t>
      </w:r>
    </w:p>
    <w:p w:rsidR="00000000" w:rsidDel="00000000" w:rsidP="00000000" w:rsidRDefault="00000000" w:rsidRPr="00000000" w14:paraId="0000001E">
      <w:pPr>
        <w:ind w:left="720" w:firstLine="0"/>
        <w:rPr>
          <w:sz w:val="26"/>
          <w:szCs w:val="26"/>
        </w:rPr>
      </w:pPr>
      <w:r w:rsidDel="00000000" w:rsidR="00000000" w:rsidRPr="00000000">
        <w:rPr>
          <w:sz w:val="26"/>
          <w:szCs w:val="26"/>
        </w:rPr>
        <w:drawing>
          <wp:inline distB="114300" distT="114300" distL="114300" distR="114300">
            <wp:extent cx="5731200" cy="2501900"/>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3"/>
        </w:numPr>
        <w:ind w:left="720" w:hanging="360"/>
        <w:rPr>
          <w:sz w:val="26"/>
          <w:szCs w:val="26"/>
        </w:rPr>
      </w:pPr>
      <w:r w:rsidDel="00000000" w:rsidR="00000000" w:rsidRPr="00000000">
        <w:rPr>
          <w:sz w:val="26"/>
          <w:szCs w:val="26"/>
          <w:rtl w:val="0"/>
        </w:rPr>
        <w:t xml:space="preserve">StackGAN</w:t>
      </w:r>
    </w:p>
    <w:p w:rsidR="00000000" w:rsidDel="00000000" w:rsidP="00000000" w:rsidRDefault="00000000" w:rsidRPr="00000000" w14:paraId="00000020">
      <w:pPr>
        <w:ind w:left="720" w:firstLine="0"/>
        <w:rPr>
          <w:sz w:val="26"/>
          <w:szCs w:val="26"/>
        </w:rPr>
      </w:pPr>
      <w:r w:rsidDel="00000000" w:rsidR="00000000" w:rsidRPr="00000000">
        <w:rPr>
          <w:sz w:val="26"/>
          <w:szCs w:val="26"/>
          <w:rtl w:val="0"/>
        </w:rPr>
        <w:t xml:space="preserve">The Stage-I GAN sketches the primitive shape and basic colors of the object based on the given text description, yielding Stage-I low resolution images. The Stage-II GAN takes Stage-I results and text descriptions as inputs, and generates high resolution images with photo realistic details. The Stage-II GAN is able to rectify defects and add compelling details with the refinement process. </w:t>
      </w:r>
    </w:p>
    <w:p w:rsidR="00000000" w:rsidDel="00000000" w:rsidP="00000000" w:rsidRDefault="00000000" w:rsidRPr="00000000" w14:paraId="00000021">
      <w:pPr>
        <w:ind w:left="720" w:firstLine="0"/>
        <w:rPr>
          <w:sz w:val="26"/>
          <w:szCs w:val="26"/>
        </w:rPr>
      </w:pPr>
      <w:r w:rsidDel="00000000" w:rsidR="00000000" w:rsidRPr="00000000">
        <w:rPr>
          <w:rtl w:val="0"/>
        </w:rPr>
      </w:r>
    </w:p>
    <w:p w:rsidR="00000000" w:rsidDel="00000000" w:rsidP="00000000" w:rsidRDefault="00000000" w:rsidRPr="00000000" w14:paraId="00000022">
      <w:pPr>
        <w:ind w:left="720" w:firstLine="0"/>
        <w:rPr>
          <w:sz w:val="26"/>
          <w:szCs w:val="26"/>
        </w:rPr>
      </w:pPr>
      <w:r w:rsidDel="00000000" w:rsidR="00000000" w:rsidRPr="00000000">
        <w:rPr>
          <w:sz w:val="26"/>
          <w:szCs w:val="26"/>
          <w:rtl w:val="0"/>
        </w:rPr>
        <w:t xml:space="preserve">Since it is the earliest improvements of </w:t>
      </w:r>
      <w:r w:rsidDel="00000000" w:rsidR="00000000" w:rsidRPr="00000000">
        <w:rPr>
          <w:i w:val="1"/>
          <w:sz w:val="26"/>
          <w:szCs w:val="26"/>
          <w:rtl w:val="0"/>
        </w:rPr>
        <w:t xml:space="preserve">Generative Adversarial Text to Image Synthesis </w:t>
      </w:r>
      <w:r w:rsidDel="00000000" w:rsidR="00000000" w:rsidRPr="00000000">
        <w:rPr>
          <w:sz w:val="26"/>
          <w:szCs w:val="26"/>
          <w:rtl w:val="0"/>
        </w:rPr>
        <w:t xml:space="preserve">and the model isn’t too complex, we decide to give it a try.</w:t>
      </w:r>
      <w:r w:rsidDel="00000000" w:rsidR="00000000" w:rsidRPr="00000000">
        <w:rPr>
          <w:i w:val="1"/>
          <w:sz w:val="26"/>
          <w:szCs w:val="26"/>
          <w:rtl w:val="0"/>
        </w:rPr>
        <w:t xml:space="preserve">  </w:t>
      </w:r>
      <w:r w:rsidDel="00000000" w:rsidR="00000000" w:rsidRPr="00000000">
        <w:rPr>
          <w:rtl w:val="0"/>
        </w:rPr>
      </w:r>
    </w:p>
    <w:p w:rsidR="00000000" w:rsidDel="00000000" w:rsidP="00000000" w:rsidRDefault="00000000" w:rsidRPr="00000000" w14:paraId="00000023">
      <w:pPr>
        <w:ind w:left="720" w:firstLine="0"/>
        <w:rPr>
          <w:sz w:val="26"/>
          <w:szCs w:val="26"/>
        </w:rPr>
      </w:pPr>
      <w:r w:rsidDel="00000000" w:rsidR="00000000" w:rsidRPr="00000000">
        <w:rPr>
          <w:sz w:val="26"/>
          <w:szCs w:val="26"/>
        </w:rPr>
        <w:drawing>
          <wp:inline distB="114300" distT="114300" distL="114300" distR="114300">
            <wp:extent cx="5731200" cy="32131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3"/>
        </w:numPr>
        <w:ind w:left="720" w:hanging="360"/>
        <w:rPr>
          <w:sz w:val="26"/>
          <w:szCs w:val="26"/>
        </w:rPr>
      </w:pPr>
      <w:r w:rsidDel="00000000" w:rsidR="00000000" w:rsidRPr="00000000">
        <w:rPr>
          <w:sz w:val="26"/>
          <w:szCs w:val="26"/>
          <w:rtl w:val="0"/>
        </w:rPr>
        <w:t xml:space="preserve">DFGAN</w:t>
      </w:r>
    </w:p>
    <w:p w:rsidR="00000000" w:rsidDel="00000000" w:rsidP="00000000" w:rsidRDefault="00000000" w:rsidRPr="00000000" w14:paraId="00000025">
      <w:pPr>
        <w:ind w:left="720" w:firstLine="0"/>
        <w:rPr>
          <w:sz w:val="26"/>
          <w:szCs w:val="26"/>
        </w:rPr>
      </w:pPr>
      <w:r w:rsidDel="00000000" w:rsidR="00000000" w:rsidRPr="00000000">
        <w:rPr>
          <w:sz w:val="26"/>
          <w:szCs w:val="26"/>
          <w:rtl w:val="0"/>
        </w:rPr>
        <w:t xml:space="preserve">They propose a novel fusion module called Deep Text-Image Fusion Block which can exploit the semantics of text descriptions effectively and fuse text and image features deeply during the generation process.</w:t>
      </w:r>
    </w:p>
    <w:p w:rsidR="00000000" w:rsidDel="00000000" w:rsidP="00000000" w:rsidRDefault="00000000" w:rsidRPr="00000000" w14:paraId="00000026">
      <w:pPr>
        <w:ind w:left="720" w:firstLine="0"/>
        <w:rPr>
          <w:sz w:val="26"/>
          <w:szCs w:val="26"/>
        </w:rPr>
      </w:pPr>
      <w:r w:rsidDel="00000000" w:rsidR="00000000" w:rsidRPr="00000000">
        <w:rPr>
          <w:rtl w:val="0"/>
        </w:rPr>
      </w:r>
    </w:p>
    <w:p w:rsidR="00000000" w:rsidDel="00000000" w:rsidP="00000000" w:rsidRDefault="00000000" w:rsidRPr="00000000" w14:paraId="00000027">
      <w:pPr>
        <w:ind w:left="720" w:firstLine="0"/>
        <w:rPr>
          <w:sz w:val="26"/>
          <w:szCs w:val="26"/>
        </w:rPr>
      </w:pPr>
      <w:r w:rsidDel="00000000" w:rsidR="00000000" w:rsidRPr="00000000">
        <w:rPr>
          <w:sz w:val="26"/>
          <w:szCs w:val="26"/>
          <w:rtl w:val="0"/>
        </w:rPr>
        <w:t xml:space="preserve">Since it is quite simple and has great results, we give it a try. However, the generated image of it is diverse largely. Sometimes the images are awesome and sometimes are really bad.</w:t>
      </w:r>
    </w:p>
    <w:p w:rsidR="00000000" w:rsidDel="00000000" w:rsidP="00000000" w:rsidRDefault="00000000" w:rsidRPr="00000000" w14:paraId="00000028">
      <w:pPr>
        <w:ind w:left="720" w:firstLine="0"/>
        <w:rPr>
          <w:sz w:val="26"/>
          <w:szCs w:val="26"/>
        </w:rPr>
      </w:pPr>
      <w:r w:rsidDel="00000000" w:rsidR="00000000" w:rsidRPr="00000000">
        <w:rPr>
          <w:sz w:val="26"/>
          <w:szCs w:val="26"/>
        </w:rPr>
        <w:drawing>
          <wp:inline distB="114300" distT="114300" distL="114300" distR="114300">
            <wp:extent cx="5731200" cy="3378200"/>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140" w:before="260" w:lineRule="auto"/>
        <w:rPr/>
      </w:pPr>
      <w:r w:rsidDel="00000000" w:rsidR="00000000" w:rsidRPr="00000000">
        <w:rPr>
          <w:rtl w:val="0"/>
        </w:rPr>
      </w:r>
    </w:p>
    <w:p w:rsidR="00000000" w:rsidDel="00000000" w:rsidP="00000000" w:rsidRDefault="00000000" w:rsidRPr="00000000" w14:paraId="0000002A">
      <w:pPr>
        <w:spacing w:after="140" w:before="260" w:lineRule="auto"/>
        <w:rPr>
          <w:sz w:val="26"/>
          <w:szCs w:val="26"/>
        </w:rPr>
      </w:pPr>
      <w:r w:rsidDel="00000000" w:rsidR="00000000" w:rsidRPr="00000000">
        <w:rPr>
          <w:sz w:val="26"/>
          <w:szCs w:val="26"/>
          <w:rtl w:val="0"/>
        </w:rPr>
        <w:t xml:space="preserve">3. Experiments</w:t>
      </w:r>
    </w:p>
    <w:p w:rsidR="00000000" w:rsidDel="00000000" w:rsidP="00000000" w:rsidRDefault="00000000" w:rsidRPr="00000000" w14:paraId="0000002B">
      <w:pPr>
        <w:numPr>
          <w:ilvl w:val="0"/>
          <w:numId w:val="1"/>
        </w:numPr>
        <w:spacing w:after="140" w:before="260" w:lineRule="auto"/>
        <w:ind w:left="720" w:hanging="360"/>
      </w:pPr>
      <w:r w:rsidDel="00000000" w:rsidR="00000000" w:rsidRPr="00000000">
        <w:rPr>
          <w:sz w:val="26"/>
          <w:szCs w:val="26"/>
          <w:rtl w:val="0"/>
        </w:rPr>
        <w:t xml:space="preserve">Data-Efficient GANs with DiffAugment</w:t>
      </w:r>
    </w:p>
    <w:p w:rsidR="00000000" w:rsidDel="00000000" w:rsidP="00000000" w:rsidRDefault="00000000" w:rsidRPr="00000000" w14:paraId="0000002C">
      <w:pPr>
        <w:spacing w:after="140" w:before="260" w:lineRule="auto"/>
        <w:ind w:left="720" w:firstLine="0"/>
        <w:rPr>
          <w:sz w:val="26"/>
          <w:szCs w:val="26"/>
        </w:rPr>
      </w:pPr>
      <w:r w:rsidDel="00000000" w:rsidR="00000000" w:rsidRPr="00000000">
        <w:rPr>
          <w:sz w:val="26"/>
          <w:szCs w:val="26"/>
          <w:rtl w:val="0"/>
        </w:rPr>
        <w:t xml:space="preserve">We refer to the </w:t>
      </w:r>
      <w:hyperlink r:id="rId14">
        <w:r w:rsidDel="00000000" w:rsidR="00000000" w:rsidRPr="00000000">
          <w:rPr>
            <w:color w:val="1155cc"/>
            <w:sz w:val="26"/>
            <w:szCs w:val="26"/>
            <w:u w:val="single"/>
            <w:rtl w:val="0"/>
          </w:rPr>
          <w:t xml:space="preserve">paper </w:t>
        </w:r>
      </w:hyperlink>
      <w:r w:rsidDel="00000000" w:rsidR="00000000" w:rsidRPr="00000000">
        <w:rPr>
          <w:sz w:val="26"/>
          <w:szCs w:val="26"/>
          <w:rtl w:val="0"/>
        </w:rPr>
        <w:t xml:space="preserve">and </w:t>
      </w:r>
      <w:hyperlink r:id="rId15">
        <w:r w:rsidDel="00000000" w:rsidR="00000000" w:rsidRPr="00000000">
          <w:rPr>
            <w:color w:val="1155cc"/>
            <w:sz w:val="26"/>
            <w:szCs w:val="26"/>
            <w:u w:val="single"/>
            <w:rtl w:val="0"/>
          </w:rPr>
          <w:t xml:space="preserve">repo</w:t>
        </w:r>
      </w:hyperlink>
      <w:r w:rsidDel="00000000" w:rsidR="00000000" w:rsidRPr="00000000">
        <w:rPr>
          <w:sz w:val="26"/>
          <w:szCs w:val="26"/>
          <w:rtl w:val="0"/>
        </w:rPr>
        <w:t xml:space="preserve">.</w:t>
      </w:r>
    </w:p>
    <w:p w:rsidR="00000000" w:rsidDel="00000000" w:rsidP="00000000" w:rsidRDefault="00000000" w:rsidRPr="00000000" w14:paraId="0000002D">
      <w:pPr>
        <w:spacing w:after="140" w:before="260" w:lineRule="auto"/>
        <w:ind w:left="720" w:firstLine="0"/>
        <w:rPr>
          <w:sz w:val="26"/>
          <w:szCs w:val="26"/>
        </w:rPr>
      </w:pPr>
      <w:r w:rsidDel="00000000" w:rsidR="00000000" w:rsidRPr="00000000">
        <w:rPr>
          <w:sz w:val="26"/>
          <w:szCs w:val="26"/>
          <w:rtl w:val="0"/>
        </w:rPr>
        <w:t xml:space="preserve">We propose Differentiable Augmentation (DiffAugment), a simple method that improves the data efficiency of GANs by imposing various types of differentiable augmentations on both real and fake samples. It can effectively stabilize training, and leads to better convergence. </w:t>
      </w:r>
    </w:p>
    <w:p w:rsidR="00000000" w:rsidDel="00000000" w:rsidP="00000000" w:rsidRDefault="00000000" w:rsidRPr="00000000" w14:paraId="0000002E">
      <w:pPr>
        <w:spacing w:after="140" w:before="260" w:lineRule="auto"/>
        <w:ind w:left="720" w:firstLine="0"/>
        <w:rPr>
          <w:sz w:val="26"/>
          <w:szCs w:val="26"/>
        </w:rPr>
      </w:pPr>
      <w:r w:rsidDel="00000000" w:rsidR="00000000" w:rsidRPr="00000000">
        <w:rPr>
          <w:sz w:val="26"/>
          <w:szCs w:val="26"/>
          <w:rtl w:val="0"/>
        </w:rPr>
        <w:t xml:space="preserve">However, after we applied this augmentation to our network, we got a worse result. </w:t>
      </w:r>
      <w:r w:rsidDel="00000000" w:rsidR="00000000" w:rsidRPr="00000000">
        <w:rPr>
          <w:rtl w:val="0"/>
        </w:rPr>
      </w:r>
    </w:p>
    <w:p w:rsidR="00000000" w:rsidDel="00000000" w:rsidP="00000000" w:rsidRDefault="00000000" w:rsidRPr="00000000" w14:paraId="0000002F">
      <w:pPr>
        <w:numPr>
          <w:ilvl w:val="0"/>
          <w:numId w:val="1"/>
        </w:numPr>
        <w:spacing w:after="140" w:before="260" w:lineRule="auto"/>
        <w:ind w:left="720" w:hanging="360"/>
        <w:rPr>
          <w:sz w:val="26"/>
          <w:szCs w:val="26"/>
        </w:rPr>
      </w:pPr>
      <w:r w:rsidDel="00000000" w:rsidR="00000000" w:rsidRPr="00000000">
        <w:rPr>
          <w:sz w:val="26"/>
          <w:szCs w:val="26"/>
          <w:rtl w:val="0"/>
        </w:rPr>
        <w:t xml:space="preserve">BERT Sentence Embedding</w:t>
      </w:r>
    </w:p>
    <w:p w:rsidR="00000000" w:rsidDel="00000000" w:rsidP="00000000" w:rsidRDefault="00000000" w:rsidRPr="00000000" w14:paraId="00000030">
      <w:pPr>
        <w:spacing w:after="140" w:before="260" w:lineRule="auto"/>
        <w:ind w:left="720" w:firstLine="0"/>
        <w:rPr>
          <w:sz w:val="26"/>
          <w:szCs w:val="26"/>
        </w:rPr>
      </w:pPr>
      <w:r w:rsidDel="00000000" w:rsidR="00000000" w:rsidRPr="00000000">
        <w:rPr>
          <w:sz w:val="26"/>
          <w:szCs w:val="26"/>
          <w:rtl w:val="0"/>
        </w:rPr>
        <w:t xml:space="preserve">We’ve tried to use pre-trained Siamese-BERT(BERT-BASE-NLI) to embed the given sentences. However, it doesn't give a better result.</w:t>
      </w:r>
    </w:p>
    <w:p w:rsidR="00000000" w:rsidDel="00000000" w:rsidP="00000000" w:rsidRDefault="00000000" w:rsidRPr="00000000" w14:paraId="00000031">
      <w:pPr>
        <w:spacing w:after="140" w:before="260" w:lineRule="auto"/>
        <w:ind w:left="720" w:firstLine="0"/>
        <w:rPr>
          <w:sz w:val="26"/>
          <w:szCs w:val="26"/>
        </w:rPr>
      </w:pPr>
      <w:r w:rsidDel="00000000" w:rsidR="00000000" w:rsidRPr="00000000">
        <w:rPr>
          <w:sz w:val="26"/>
          <w:szCs w:val="26"/>
          <w:rtl w:val="0"/>
        </w:rPr>
        <w:t xml:space="preserve">We’ve thought that we should fine-tune the BERT to get a better result. However, due to lack of time, we didn’t do that.</w:t>
      </w:r>
    </w:p>
    <w:p w:rsidR="00000000" w:rsidDel="00000000" w:rsidP="00000000" w:rsidRDefault="00000000" w:rsidRPr="00000000" w14:paraId="00000032">
      <w:pPr>
        <w:numPr>
          <w:ilvl w:val="0"/>
          <w:numId w:val="1"/>
        </w:numPr>
        <w:spacing w:after="140" w:before="260" w:lineRule="auto"/>
        <w:ind w:left="720" w:hanging="360"/>
        <w:rPr>
          <w:sz w:val="26"/>
          <w:szCs w:val="26"/>
        </w:rPr>
      </w:pPr>
      <w:r w:rsidDel="00000000" w:rsidR="00000000" w:rsidRPr="00000000">
        <w:rPr>
          <w:sz w:val="26"/>
          <w:szCs w:val="26"/>
          <w:rtl w:val="0"/>
        </w:rPr>
        <w:t xml:space="preserve">Batch Size Tuning: </w:t>
      </w:r>
    </w:p>
    <w:p w:rsidR="00000000" w:rsidDel="00000000" w:rsidP="00000000" w:rsidRDefault="00000000" w:rsidRPr="00000000" w14:paraId="00000033">
      <w:pPr>
        <w:spacing w:after="140" w:before="260" w:lineRule="auto"/>
        <w:ind w:left="720" w:firstLine="0"/>
        <w:rPr>
          <w:sz w:val="26"/>
          <w:szCs w:val="26"/>
        </w:rPr>
      </w:pPr>
      <w:r w:rsidDel="00000000" w:rsidR="00000000" w:rsidRPr="00000000">
        <w:rPr>
          <w:sz w:val="26"/>
          <w:szCs w:val="26"/>
          <w:rtl w:val="0"/>
        </w:rPr>
        <w:t xml:space="preserve">Since our result was not good, we tried a different batch-size (1024). Although it was faster than the original batch-size (64), the generated image looked worse than the original.</w:t>
      </w:r>
    </w:p>
    <w:p w:rsidR="00000000" w:rsidDel="00000000" w:rsidP="00000000" w:rsidRDefault="00000000" w:rsidRPr="00000000" w14:paraId="00000034">
      <w:pPr>
        <w:spacing w:after="140" w:before="260" w:lineRule="auto"/>
        <w:ind w:left="720" w:firstLine="0"/>
        <w:rPr>
          <w:sz w:val="26"/>
          <w:szCs w:val="26"/>
        </w:rPr>
      </w:pPr>
      <w:r w:rsidDel="00000000" w:rsidR="00000000" w:rsidRPr="00000000">
        <w:rPr>
          <w:sz w:val="26"/>
          <w:szCs w:val="26"/>
          <w:rtl w:val="0"/>
        </w:rPr>
        <w:t xml:space="preserve">As a result, we still used batch-size 64.</w:t>
      </w:r>
    </w:p>
    <w:p w:rsidR="00000000" w:rsidDel="00000000" w:rsidP="00000000" w:rsidRDefault="00000000" w:rsidRPr="00000000" w14:paraId="0000003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jp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hyperlink" Target="https://github.com/mit-han-lab/data-efficient-gans#using-diffaugment-for-your-own-training" TargetMode="External"/><Relationship Id="rId14" Type="http://schemas.openxmlformats.org/officeDocument/2006/relationships/hyperlink" Target="https://arxiv.org/pdf/2006.10738.pdf" TargetMode="External"/><Relationship Id="rId5" Type="http://schemas.openxmlformats.org/officeDocument/2006/relationships/styles" Target="styles.xml"/><Relationship Id="rId6" Type="http://schemas.openxmlformats.org/officeDocument/2006/relationships/image" Target="media/image8.jpg"/><Relationship Id="rId7" Type="http://schemas.openxmlformats.org/officeDocument/2006/relationships/image" Target="media/image3.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