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1.</w:t>
      </w:r>
      <w:r>
        <w:rPr>
          <w:rFonts w:ascii="Consolas" w:hAnsi="Consolas" w:cs="Consolas"/>
          <w:kern w:val="0"/>
          <w:sz w:val="22"/>
        </w:rPr>
        <w:t>观察</w:t>
      </w:r>
      <w:proofErr w:type="gramStart"/>
      <w:r>
        <w:rPr>
          <w:rFonts w:ascii="Consolas" w:hAnsi="Consolas" w:cs="Consolas"/>
          <w:kern w:val="0"/>
          <w:sz w:val="22"/>
        </w:rPr>
        <w:t>者模式</w:t>
      </w:r>
      <w:proofErr w:type="gramEnd"/>
      <w:r>
        <w:rPr>
          <w:rFonts w:ascii="Consolas" w:hAnsi="Consolas" w:cs="Consolas"/>
          <w:kern w:val="0"/>
          <w:sz w:val="22"/>
        </w:rPr>
        <w:t>是对象的行为模式，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也叫做发布订阅</w:t>
      </w:r>
      <w:r>
        <w:rPr>
          <w:rFonts w:ascii="Consolas" w:hAnsi="Consolas" w:cs="Consolas"/>
          <w:kern w:val="0"/>
          <w:sz w:val="22"/>
        </w:rPr>
        <w:t>(Publish/Subscribe)</w:t>
      </w:r>
      <w:r>
        <w:rPr>
          <w:rFonts w:ascii="Consolas" w:hAnsi="Consolas" w:cs="Consolas"/>
          <w:kern w:val="0"/>
          <w:sz w:val="22"/>
        </w:rPr>
        <w:t>模式、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模型视图</w:t>
      </w:r>
      <w:r>
        <w:rPr>
          <w:rFonts w:ascii="Consolas" w:hAnsi="Consolas" w:cs="Consolas"/>
          <w:kern w:val="0"/>
          <w:sz w:val="22"/>
        </w:rPr>
        <w:t>(Model/View)</w:t>
      </w:r>
      <w:r>
        <w:rPr>
          <w:rFonts w:ascii="Consolas" w:hAnsi="Consolas" w:cs="Consolas"/>
          <w:kern w:val="0"/>
          <w:sz w:val="22"/>
        </w:rPr>
        <w:t>模式、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源监听</w:t>
      </w:r>
      <w:r>
        <w:rPr>
          <w:rFonts w:ascii="Consolas" w:hAnsi="Consolas" w:cs="Consolas"/>
          <w:kern w:val="0"/>
          <w:sz w:val="22"/>
        </w:rPr>
        <w:t>(Source/Listener)</w:t>
      </w:r>
      <w:r>
        <w:rPr>
          <w:rFonts w:ascii="Consolas" w:hAnsi="Consolas" w:cs="Consolas"/>
          <w:kern w:val="0"/>
          <w:sz w:val="22"/>
        </w:rPr>
        <w:t>模式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和从属者</w:t>
      </w:r>
      <w:r>
        <w:rPr>
          <w:rFonts w:ascii="Consolas" w:hAnsi="Consolas" w:cs="Consolas"/>
          <w:kern w:val="0"/>
          <w:sz w:val="22"/>
        </w:rPr>
        <w:t>(Depends)</w:t>
      </w:r>
      <w:r>
        <w:rPr>
          <w:rFonts w:ascii="Consolas" w:hAnsi="Consolas" w:cs="Consolas"/>
          <w:kern w:val="0"/>
          <w:sz w:val="22"/>
        </w:rPr>
        <w:t>模式。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2.</w:t>
      </w:r>
      <w:r>
        <w:rPr>
          <w:rFonts w:ascii="Consolas" w:hAnsi="Consolas" w:cs="Consolas"/>
          <w:kern w:val="0"/>
          <w:sz w:val="22"/>
        </w:rPr>
        <w:t>四个角色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抽象主题</w:t>
      </w:r>
      <w:r>
        <w:rPr>
          <w:rFonts w:ascii="Consolas" w:hAnsi="Consolas" w:cs="Consolas"/>
          <w:kern w:val="0"/>
          <w:sz w:val="22"/>
        </w:rPr>
        <w:t>(Subject)</w:t>
      </w:r>
      <w:r>
        <w:rPr>
          <w:rFonts w:ascii="Consolas" w:hAnsi="Consolas" w:cs="Consolas"/>
          <w:kern w:val="0"/>
          <w:sz w:val="22"/>
        </w:rPr>
        <w:t>：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具体主题</w:t>
      </w:r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kern w:val="0"/>
          <w:sz w:val="22"/>
        </w:rPr>
        <w:t>ConcreteSubject</w:t>
      </w:r>
      <w:proofErr w:type="spellEnd"/>
      <w:r>
        <w:rPr>
          <w:rFonts w:ascii="Consolas" w:hAnsi="Consolas" w:cs="Consolas"/>
          <w:kern w:val="0"/>
          <w:sz w:val="22"/>
        </w:rPr>
        <w:t>)</w:t>
      </w:r>
      <w:r>
        <w:rPr>
          <w:rFonts w:ascii="Consolas" w:hAnsi="Consolas" w:cs="Consolas"/>
          <w:kern w:val="0"/>
          <w:sz w:val="22"/>
        </w:rPr>
        <w:t>：</w:t>
      </w:r>
    </w:p>
    <w:p w:rsidR="002D0847" w:rsidRDefault="002D0847" w:rsidP="002D0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抽象观察者</w:t>
      </w:r>
      <w:r>
        <w:rPr>
          <w:rFonts w:ascii="Consolas" w:hAnsi="Consolas" w:cs="Consolas"/>
          <w:kern w:val="0"/>
          <w:sz w:val="22"/>
        </w:rPr>
        <w:t>(Observer)</w:t>
      </w:r>
      <w:r>
        <w:rPr>
          <w:rFonts w:ascii="Consolas" w:hAnsi="Consolas" w:cs="Consolas"/>
          <w:kern w:val="0"/>
          <w:sz w:val="22"/>
        </w:rPr>
        <w:t>：</w:t>
      </w:r>
    </w:p>
    <w:p w:rsidR="002F7233" w:rsidRDefault="002D0847" w:rsidP="002D084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具体观察者</w:t>
      </w:r>
      <w:r>
        <w:rPr>
          <w:rFonts w:ascii="Consolas" w:hAnsi="Consolas" w:cs="Consolas"/>
          <w:kern w:val="0"/>
          <w:sz w:val="22"/>
        </w:rPr>
        <w:t>(</w:t>
      </w:r>
      <w:proofErr w:type="spellStart"/>
      <w:r>
        <w:rPr>
          <w:rFonts w:ascii="Consolas" w:hAnsi="Consolas" w:cs="Consolas"/>
          <w:kern w:val="0"/>
          <w:sz w:val="22"/>
        </w:rPr>
        <w:t>ConcreteObserver</w:t>
      </w:r>
      <w:proofErr w:type="spellEnd"/>
      <w:r>
        <w:rPr>
          <w:rFonts w:ascii="Consolas" w:hAnsi="Consolas" w:cs="Consolas"/>
          <w:kern w:val="0"/>
          <w:sz w:val="22"/>
        </w:rPr>
        <w:t>)</w:t>
      </w:r>
      <w:r>
        <w:rPr>
          <w:rFonts w:ascii="Consolas" w:hAnsi="Consolas" w:cs="Consolas"/>
          <w:kern w:val="0"/>
          <w:sz w:val="22"/>
        </w:rPr>
        <w:t>：</w:t>
      </w:r>
    </w:p>
    <w:p w:rsidR="00CA0BD9" w:rsidRDefault="00CA0BD9" w:rsidP="002D0847">
      <w:pPr>
        <w:rPr>
          <w:rFonts w:ascii="Consolas" w:hAnsi="Consolas" w:cs="Consolas"/>
          <w:kern w:val="0"/>
          <w:sz w:val="22"/>
        </w:rPr>
      </w:pPr>
    </w:p>
    <w:p w:rsidR="00CA0BD9" w:rsidRDefault="00CA0BD9" w:rsidP="002D084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3.</w:t>
      </w:r>
      <w:r>
        <w:rPr>
          <w:rFonts w:ascii="Consolas" w:hAnsi="Consolas" w:cs="Consolas" w:hint="eastAsia"/>
          <w:kern w:val="0"/>
          <w:sz w:val="22"/>
        </w:rPr>
        <w:t>两种结构</w:t>
      </w:r>
    </w:p>
    <w:p w:rsidR="00CA0BD9" w:rsidRDefault="00CA0BD9" w:rsidP="002D084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第一种结构：</w:t>
      </w:r>
    </w:p>
    <w:p w:rsidR="00CA0BD9" w:rsidRDefault="00CA0BD9" w:rsidP="002D084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4191585" cy="324847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D9" w:rsidRDefault="00CA0BD9" w:rsidP="002D0847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第二种结构：</w:t>
      </w:r>
    </w:p>
    <w:p w:rsidR="00CA0BD9" w:rsidRDefault="00CA0BD9" w:rsidP="002D0847">
      <w:r>
        <w:rPr>
          <w:rFonts w:hint="eastAsia"/>
          <w:noProof/>
        </w:rPr>
        <w:drawing>
          <wp:inline distT="0" distB="0" distL="0" distR="0">
            <wp:extent cx="5274310" cy="2525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43" w:rsidRDefault="002A3443" w:rsidP="002D0847">
      <w:r>
        <w:rPr>
          <w:rFonts w:hint="eastAsia"/>
        </w:rPr>
        <w:t>区别是：</w:t>
      </w:r>
    </w:p>
    <w:p w:rsidR="002A3443" w:rsidRDefault="002A3443" w:rsidP="002A3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第二种结构中，聚集管理放在抽象主题中，没有必要每个具体主题都实现一次。</w:t>
      </w:r>
    </w:p>
    <w:p w:rsidR="006157A9" w:rsidRDefault="006157A9" w:rsidP="002A3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与第一种结构相比，方案二的具体主题，将会轻量很多</w:t>
      </w:r>
    </w:p>
    <w:p w:rsidR="002A3443" w:rsidRDefault="002A3443" w:rsidP="002D0847"/>
    <w:sectPr w:rsidR="002A3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4AA2"/>
    <w:multiLevelType w:val="hybridMultilevel"/>
    <w:tmpl w:val="FF4E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10"/>
    <w:rsid w:val="002A3443"/>
    <w:rsid w:val="002D0847"/>
    <w:rsid w:val="002F7233"/>
    <w:rsid w:val="006157A9"/>
    <w:rsid w:val="00815E10"/>
    <w:rsid w:val="00C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D6C6"/>
  <w15:chartTrackingRefBased/>
  <w15:docId w15:val="{541DB104-3933-46A6-A7F3-A8AB6B18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5</cp:revision>
  <dcterms:created xsi:type="dcterms:W3CDTF">2020-04-14T07:38:00Z</dcterms:created>
  <dcterms:modified xsi:type="dcterms:W3CDTF">2020-04-14T07:50:00Z</dcterms:modified>
</cp:coreProperties>
</file>