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36"/>
        </w:rPr>
        <w:t>Nova Digital — Remote Work Framework &amp; Stipends Policy</w:t>
      </w:r>
    </w:p>
    <w:p>
      <w:pPr>
        <w:spacing w:after="320"/>
      </w:pPr>
      <w:r>
        <w:rPr>
          <w:rFonts w:ascii="Arial" w:hAnsi="Arial"/>
          <w:i/>
          <w:color w:val="64748B"/>
          <w:sz w:val="19"/>
        </w:rPr>
        <w:t>Doc ID: HR-STIP-2026-V2 | Category: HR &amp; Workplace Experience | Last Revised: February 2026</w:t>
      </w:r>
    </w:p>
    <w:p>
      <w:pPr>
        <w:keepNext/>
        <w:spacing w:before="280" w:after="80"/>
      </w:pPr>
      <w:r>
        <w:rPr>
          <w:rFonts w:ascii="Arial" w:hAnsi="Arial"/>
          <w:b/>
          <w:color w:val="2563EB"/>
          <w:sz w:val="26"/>
        </w:rPr>
        <w:t>1. Philosophy and Remote-First Operating Model</w:t>
      </w:r>
    </w:p>
    <w:p>
      <w:pPr>
        <w:spacing w:after="120" w:line="276" w:lineRule="auto"/>
      </w:pPr>
      <w:r>
        <w:rPr>
          <w:rFonts w:ascii="Arial" w:hAnsi="Arial"/>
          <w:color w:val="1E293B"/>
          <w:sz w:val="20"/>
        </w:rPr>
        <w:t>Nova Digital operates as a remote-first organization. We trust team members to organize their workday for maximum impact, provided customer and internal service level agreements (SLAs) are met. While distributed across multiple time zones, our operational cohesion relies on shared norms around responsiveness, documentation, and synchronous collaboration.</w:t>
      </w:r>
    </w:p>
    <w:p>
      <w:pPr>
        <w:keepNext/>
        <w:spacing w:before="280" w:after="80"/>
      </w:pPr>
      <w:r>
        <w:rPr>
          <w:rFonts w:ascii="Arial" w:hAnsi="Arial"/>
          <w:b/>
          <w:color w:val="2563EB"/>
          <w:sz w:val="26"/>
        </w:rPr>
        <w:t>2. Core Working Hours &amp; Availability Expectations</w:t>
      </w:r>
    </w:p>
    <w:p>
      <w:pPr>
        <w:spacing w:after="120" w:line="276" w:lineRule="auto"/>
      </w:pPr>
      <w:r>
        <w:rPr>
          <w:rFonts w:ascii="Arial" w:hAnsi="Arial"/>
          <w:color w:val="1E293B"/>
          <w:sz w:val="20"/>
        </w:rPr>
        <w:t>To balance asynchronous independence with effective real-time collaboration across product, engineering, and support teams, Nova Digital enforces mandatory core collaboration hours.</w:t>
      </w:r>
    </w:p>
    <w:p>
      <w:pPr>
        <w:pStyle w:val="ListBullet"/>
        <w:spacing w:after="60" w:line="276" w:lineRule="auto"/>
      </w:pPr>
      <w:r>
        <w:rPr>
          <w:rFonts w:ascii="Arial" w:hAnsi="Arial"/>
          <w:b/>
          <w:color w:val="1E293B"/>
          <w:sz w:val="20"/>
        </w:rPr>
        <w:t xml:space="preserve">Core Synchronous Window: </w:t>
      </w:r>
      <w:r>
        <w:rPr>
          <w:rFonts w:ascii="Arial" w:hAnsi="Arial"/>
          <w:color w:val="1E293B"/>
          <w:sz w:val="20"/>
        </w:rPr>
        <w:t>All full-time staff must be available and responsive on Slack and email between 10:00 AM and 3:00 PM Eastern Standard Time (EST), Monday through Friday.</w:t>
      </w:r>
    </w:p>
    <w:p>
      <w:pPr>
        <w:pStyle w:val="ListBullet"/>
        <w:spacing w:after="60" w:line="276" w:lineRule="auto"/>
      </w:pPr>
      <w:r>
        <w:rPr>
          <w:rFonts w:ascii="Arial" w:hAnsi="Arial"/>
          <w:b/>
          <w:color w:val="1E293B"/>
          <w:sz w:val="20"/>
        </w:rPr>
        <w:t xml:space="preserve">Flexible Boundary Hours: </w:t>
      </w:r>
      <w:r>
        <w:rPr>
          <w:rFonts w:ascii="Arial" w:hAnsi="Arial"/>
          <w:color w:val="1E293B"/>
          <w:sz w:val="20"/>
        </w:rPr>
        <w:t>The remaining 3 hours of the 8-hour workday may be arranged at the employee's discretion (e.g., earlier mornings or late evenings).</w:t>
      </w:r>
    </w:p>
    <w:p>
      <w:pPr>
        <w:pStyle w:val="ListBullet"/>
        <w:spacing w:after="60" w:line="276" w:lineRule="auto"/>
      </w:pPr>
      <w:r>
        <w:rPr>
          <w:rFonts w:ascii="Arial" w:hAnsi="Arial"/>
          <w:b/>
          <w:color w:val="1E293B"/>
          <w:sz w:val="20"/>
        </w:rPr>
        <w:t xml:space="preserve">Slack Status Standards: </w:t>
      </w:r>
      <w:r>
        <w:rPr>
          <w:rFonts w:ascii="Arial" w:hAnsi="Arial"/>
          <w:color w:val="1E293B"/>
          <w:sz w:val="20"/>
        </w:rPr>
        <w:t>Employees away from their desk for more than 45 minutes during core hours must update their Slack status (e.g., 'Lunch', 'Doctor Appointment', 'Focus Time').</w:t>
      </w:r>
    </w:p>
    <w:p>
      <w:pPr>
        <w:pStyle w:val="ListBullet"/>
        <w:spacing w:after="60" w:line="276" w:lineRule="auto"/>
      </w:pPr>
      <w:r>
        <w:rPr>
          <w:rFonts w:ascii="Arial" w:hAnsi="Arial"/>
          <w:b/>
          <w:color w:val="1E293B"/>
          <w:sz w:val="20"/>
        </w:rPr>
        <w:t xml:space="preserve">Response Time SLAs: </w:t>
      </w:r>
      <w:r>
        <w:rPr>
          <w:rFonts w:ascii="Arial" w:hAnsi="Arial"/>
          <w:color w:val="1E293B"/>
          <w:sz w:val="20"/>
        </w:rPr>
        <w:t>During core hours, teammates are expected to acknowledge internal Slack direct messages within 90 minutes. Critical on-call engineers must follow dedicated PagerDuty thresholds.</w:t>
      </w:r>
    </w:p>
    <w:p>
      <w:pPr>
        <w:keepNext/>
        <w:spacing w:before="280" w:after="80"/>
      </w:pPr>
      <w:r>
        <w:rPr>
          <w:rFonts w:ascii="Arial" w:hAnsi="Arial"/>
          <w:b/>
          <w:color w:val="2563EB"/>
          <w:sz w:val="26"/>
        </w:rPr>
        <w:t>3. Financial Stipends &amp; Allowances</w:t>
      </w:r>
    </w:p>
    <w:p>
      <w:pPr>
        <w:spacing w:after="120" w:line="276" w:lineRule="auto"/>
      </w:pPr>
      <w:r>
        <w:rPr>
          <w:rFonts w:ascii="Arial" w:hAnsi="Arial"/>
          <w:color w:val="1E293B"/>
          <w:sz w:val="20"/>
        </w:rPr>
        <w:t>Nova Digital provides comprehensive financial subsidies to ensure our team has ergonomic, high-speed, and secure home working environments.</w:t>
      </w:r>
    </w:p>
    <w:p>
      <w:pPr>
        <w:keepNext/>
        <w:spacing w:before="200" w:after="60"/>
      </w:pPr>
      <w:r>
        <w:rPr>
          <w:rFonts w:ascii="Arial" w:hAnsi="Arial"/>
          <w:b/>
          <w:color w:val="1E293B"/>
          <w:sz w:val="22"/>
        </w:rPr>
        <w:t>3.1 One-Time Home Office Setup Grant ($500 USD)</w:t>
      </w:r>
    </w:p>
    <w:p>
      <w:pPr>
        <w:spacing w:after="120" w:line="276" w:lineRule="auto"/>
      </w:pPr>
      <w:r>
        <w:rPr>
          <w:rFonts w:ascii="Arial" w:hAnsi="Arial"/>
          <w:color w:val="1E293B"/>
          <w:sz w:val="20"/>
        </w:rPr>
        <w:t>Upon joining Nova Digital, every full-time hire is allocated a $500 one-time setup grant charged directly through their corporate Brex card or reimbursed via Expensify within the first 60 days of employment.</w:t>
      </w:r>
    </w:p>
    <w:p>
      <w:pPr>
        <w:pStyle w:val="ListBullet"/>
        <w:spacing w:after="60" w:line="276" w:lineRule="auto"/>
      </w:pPr>
      <w:r>
        <w:rPr>
          <w:rFonts w:ascii="Arial" w:hAnsi="Arial"/>
          <w:b/>
          <w:color w:val="1E293B"/>
          <w:sz w:val="20"/>
        </w:rPr>
        <w:t xml:space="preserve">Eligible Purchases: </w:t>
      </w:r>
      <w:r>
        <w:rPr>
          <w:rFonts w:ascii="Arial" w:hAnsi="Arial"/>
          <w:color w:val="1E293B"/>
          <w:sz w:val="20"/>
        </w:rPr>
        <w:t>Ergonomic office chairs, standing desk converters, secondary external monitors, monitor arms, noise-canceling headsets, webcams, keyboards, and mouse peripherals.</w:t>
      </w:r>
    </w:p>
    <w:p>
      <w:pPr>
        <w:pStyle w:val="ListBullet"/>
        <w:spacing w:after="60" w:line="276" w:lineRule="auto"/>
      </w:pPr>
      <w:r>
        <w:rPr>
          <w:rFonts w:ascii="Arial" w:hAnsi="Arial"/>
          <w:b/>
          <w:color w:val="1E293B"/>
          <w:sz w:val="20"/>
        </w:rPr>
        <w:t xml:space="preserve">Ineligible Purchases: </w:t>
      </w:r>
      <w:r>
        <w:rPr>
          <w:rFonts w:ascii="Arial" w:hAnsi="Arial"/>
          <w:color w:val="1E293B"/>
          <w:sz w:val="20"/>
        </w:rPr>
        <w:t>Decorative artwork, luxury lighting, streaming equipment, gaming consoles, or general furniture unrelated to desk ergonomics.</w:t>
      </w:r>
    </w:p>
    <w:p>
      <w:pPr>
        <w:keepNext/>
        <w:spacing w:before="200" w:after="60"/>
      </w:pPr>
      <w:r>
        <w:rPr>
          <w:rFonts w:ascii="Arial" w:hAnsi="Arial"/>
          <w:b/>
          <w:color w:val="1E293B"/>
          <w:sz w:val="22"/>
        </w:rPr>
        <w:t>3.2 Monthly Internet &amp; Mobile Data Subsidy ($75 USD / Month)</w:t>
      </w:r>
    </w:p>
    <w:p>
      <w:pPr>
        <w:spacing w:after="120" w:line="276" w:lineRule="auto"/>
      </w:pPr>
      <w:r>
        <w:rPr>
          <w:rFonts w:ascii="Arial" w:hAnsi="Arial"/>
          <w:color w:val="1E293B"/>
          <w:sz w:val="20"/>
        </w:rPr>
        <w:t>Nova Digital disburses a non-taxable $75 monthly internet allowance processed automatically on the second payroll cycle of each month. No manual receipt submission is required. Employees are required to maintain a stable residential broadband connection with a minimum baseline speed of 50 Mbps download and 15 Mbps upload.</w:t>
      </w:r>
    </w:p>
    <w:p>
      <w:pPr>
        <w:keepNext/>
        <w:spacing w:before="200" w:after="60"/>
      </w:pPr>
      <w:r>
        <w:rPr>
          <w:rFonts w:ascii="Arial" w:hAnsi="Arial"/>
          <w:b/>
          <w:color w:val="1E293B"/>
          <w:sz w:val="22"/>
        </w:rPr>
        <w:t>3.3 Co-Working Space Membership Allowance ($200 USD / Month)</w:t>
      </w:r>
    </w:p>
    <w:p>
      <w:pPr>
        <w:spacing w:after="120" w:line="276" w:lineRule="auto"/>
      </w:pPr>
      <w:r>
        <w:rPr>
          <w:rFonts w:ascii="Arial" w:hAnsi="Arial"/>
          <w:color w:val="1E293B"/>
          <w:sz w:val="20"/>
        </w:rPr>
        <w:t>For employees preferring an external office environment, Nova Digital offers up to $200 per month toward a hot-desk membership at approved spaces (e.g., WeWork, Regus, Deskpass). Pre-approval from your People Operations Business Partner (BP) is required prior to signing any recurring membership agreement.</w:t>
      </w:r>
    </w:p>
    <w:p>
      <w:pPr>
        <w:keepNext/>
        <w:spacing w:before="280" w:after="80"/>
      </w:pPr>
      <w:r>
        <w:rPr>
          <w:rFonts w:ascii="Arial" w:hAnsi="Arial"/>
          <w:b/>
          <w:color w:val="2563EB"/>
          <w:sz w:val="26"/>
        </w:rPr>
        <w:t>4. Hardware Provisioning, Refresh &amp; Ownership Lifecycle</w:t>
      </w:r>
    </w:p>
    <w:p>
      <w:pPr>
        <w:spacing w:after="120" w:line="276" w:lineRule="auto"/>
      </w:pPr>
      <w:r>
        <w:rPr>
          <w:rFonts w:ascii="Arial" w:hAnsi="Arial"/>
          <w:color w:val="1E293B"/>
          <w:sz w:val="20"/>
        </w:rPr>
        <w:t>All computing hardware remains the exclusive property of Nova Digital and is managed via centralized Mobile Device Management (MDM).</w:t>
      </w:r>
    </w:p>
    <w:p>
      <w:pPr>
        <w:pStyle w:val="ListBullet"/>
        <w:spacing w:after="60" w:line="276" w:lineRule="auto"/>
      </w:pPr>
      <w:r>
        <w:rPr>
          <w:rFonts w:ascii="Arial" w:hAnsi="Arial"/>
          <w:b/>
          <w:color w:val="1E293B"/>
          <w:sz w:val="20"/>
        </w:rPr>
        <w:t xml:space="preserve">Standard Engineering Package: </w:t>
      </w:r>
      <w:r>
        <w:rPr>
          <w:rFonts w:ascii="Arial" w:hAnsi="Arial"/>
          <w:color w:val="1E293B"/>
          <w:sz w:val="20"/>
        </w:rPr>
        <w:t>Apple 16-inch MacBook Pro (M3 Pro chip, 36GB Unified Memory, 512GB SSD) or Dell XPS 15 (Intel i7, 32GB RAM, 512GB SSD).</w:t>
      </w:r>
    </w:p>
    <w:p>
      <w:pPr>
        <w:pStyle w:val="ListBullet"/>
        <w:spacing w:after="60" w:line="276" w:lineRule="auto"/>
      </w:pPr>
      <w:r>
        <w:rPr>
          <w:rFonts w:ascii="Arial" w:hAnsi="Arial"/>
          <w:b/>
          <w:color w:val="1E293B"/>
          <w:sz w:val="20"/>
        </w:rPr>
        <w:t xml:space="preserve">Standard Operations/Business Package: </w:t>
      </w:r>
      <w:r>
        <w:rPr>
          <w:rFonts w:ascii="Arial" w:hAnsi="Arial"/>
          <w:color w:val="1E293B"/>
          <w:sz w:val="20"/>
        </w:rPr>
        <w:t>Apple 14-inch MacBook Air (M3 chip, 16GB Unified Memory, 512GB SSD).</w:t>
      </w:r>
    </w:p>
    <w:p>
      <w:pPr>
        <w:pStyle w:val="ListBullet"/>
        <w:spacing w:after="60" w:line="276" w:lineRule="auto"/>
      </w:pPr>
      <w:r>
        <w:rPr>
          <w:rFonts w:ascii="Arial" w:hAnsi="Arial"/>
          <w:b/>
          <w:color w:val="1E293B"/>
          <w:sz w:val="20"/>
        </w:rPr>
        <w:t xml:space="preserve">Hardware Refresh Cadence: </w:t>
      </w:r>
      <w:r>
        <w:rPr>
          <w:rFonts w:ascii="Arial" w:hAnsi="Arial"/>
          <w:color w:val="1E293B"/>
          <w:sz w:val="20"/>
        </w:rPr>
        <w:t>Standard laptops are refreshed on a strict 36-month (3-year) cycle from the original shipment date.</w:t>
      </w:r>
    </w:p>
    <w:p>
      <w:pPr>
        <w:pStyle w:val="ListBullet"/>
        <w:spacing w:after="60" w:line="276" w:lineRule="auto"/>
      </w:pPr>
      <w:r>
        <w:rPr>
          <w:rFonts w:ascii="Arial" w:hAnsi="Arial"/>
          <w:b/>
          <w:color w:val="1E293B"/>
          <w:sz w:val="20"/>
        </w:rPr>
        <w:t xml:space="preserve">Device Buyout Program: </w:t>
      </w:r>
      <w:r>
        <w:rPr>
          <w:rFonts w:ascii="Arial" w:hAnsi="Arial"/>
          <w:color w:val="1E293B"/>
          <w:sz w:val="20"/>
        </w:rPr>
        <w:t>Upon reaching the 36-month threshold or upon amicable separation after 2 years of tenure, employees may purchase their existing company laptop for a nominal depreciated processing fee of $100 USD, following mandatory IT remote wipe and MDM de-enrollment.</w:t>
      </w:r>
    </w:p>
    <w:p>
      <w:pPr>
        <w:keepNext/>
        <w:spacing w:before="280" w:after="80"/>
      </w:pPr>
      <w:r>
        <w:rPr>
          <w:rFonts w:ascii="Arial" w:hAnsi="Arial"/>
          <w:b/>
          <w:color w:val="2563EB"/>
          <w:sz w:val="26"/>
        </w:rPr>
        <w:t>5. Relocation &amp; Geographic Tax Compliance</w:t>
      </w:r>
    </w:p>
    <w:p>
      <w:pPr>
        <w:spacing w:after="120" w:line="276" w:lineRule="auto"/>
      </w:pPr>
      <w:r>
        <w:rPr>
          <w:rFonts w:ascii="Arial" w:hAnsi="Arial"/>
          <w:color w:val="1E293B"/>
          <w:sz w:val="20"/>
        </w:rPr>
        <w:t>Because payroll taxes, benefits compliance, and labor regulations vary significantly across jurisdictions, employees must submit relocation requests at least 60 days in advance via the BambooHR Mobility Portal. Relocations outside of pre-approved country or state tax entities require explicit authorization from the CFO and Head of People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