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start"/>
        <w:rPr>
          <w:rFonts w:ascii="Arial" w:hAnsi="Arial" w:cstheme="minorBidi" w:eastAsiaTheme="minorEastAsia"/>
          <w:color w:val="auto"/>
          <w:sz w:val="36"/>
          <w:szCs w:val="36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36"/>
          <w:szCs w:val="36"/>
        </w:rPr>
        <w:t>Bibliografia Consultada</w:t>
      </w:r>
    </w:p>
    <w:p>
      <w:pPr>
        <w:pStyle w:val="Normal"/>
        <w:jc w:val="start"/>
        <w:rPr>
          <w:rFonts w:ascii="Arial" w:hAnsi="Arial" w:cstheme="minorBidi" w:eastAsiaTheme="minorEastAsia"/>
          <w:color w:val="auto"/>
          <w:sz w:val="36"/>
          <w:szCs w:val="36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36"/>
          <w:szCs w:val="36"/>
        </w:rPr>
      </w:r>
    </w:p>
    <w:p>
      <w:pPr>
        <w:pStyle w:val="BodyText"/>
        <w:keepNext w:val="false"/>
        <w:keepLines w:val="false"/>
        <w:widowControl/>
        <w:suppressLineNumbers w:val="0"/>
        <w:rPr/>
      </w:pPr>
      <w:r>
        <w:rPr>
          <w:rStyle w:val="Hyperlink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[1] M. Stonebraker, P. Brown, A. Poliakov and S. Raman, “The End of an Architectural Era (It’s Time for a Complete Rewrite),”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Communications of the ACM</w:t>
      </w:r>
      <w:r>
        <w:rPr>
          <w:rStyle w:val="Hyperlink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65, no. 2, pp. 48–55,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[2] T. Zhang, Y. Li and H. Wang, “Cloud-Native Data Processing Architectures for Scalable Analytics,”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IEEE Access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10, pp. 112345–112358,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[3] D. Abadi, P. Boncz and S. Harizopoulos, “Data Management in the Cloud: Limitations and Opportunities,”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Communications of the ACM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65, no. 7, pp. 64–73,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[4] G. Wrembel and C. Koncilia, “Modern ETL and ELT Processes in Data Warehousing: Trends and Challenges,”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Information Systems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109, 2023.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[5] J. Khatri and C. Brown, “Data Quality in Modern Data Pipelines: Challenges and Solutions,”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ACM Computing Surveys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55, no. 9, 2023.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[6] A. Fernández, R. García and M. Ruiz, “Automated Data Cleaning and Quality Assessment in Heterogeneous Environments,”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IEEE Access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12, pp. 33456–33472, 2024.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[7] M. Ionescu and L. Tudor, “Digital Transformation and Data Digitization in Enterprise Systems,”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Journal of Information Technology Management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35, no. 1,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[8] S. Li, Q. Chen and Z. Zhao, “Streaming Data Ingestion Architectures Using Apache Kafka,”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Future Generation Computer Systems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135, pp. 210–223, 2022.</w:t>
      </w:r>
    </w:p>
    <w:p>
      <w:pPr>
        <w:pStyle w:val="BodyText"/>
        <w:widowControl/>
        <w:spacing w:before="100" w:after="100"/>
        <w:jc w:val="start"/>
        <w:rPr>
          <w:rFonts w:ascii="Arial" w:hAnsi="Arial" w:eastAsia="SimSun" w:cs="Arial"/>
          <w:i/>
          <w:i/>
          <w:iCs/>
          <w:color w:val="auto"/>
          <w:sz w:val="14"/>
          <w:szCs w:val="14"/>
          <w:lang w:val="en-US" w:bidi="ar"/>
        </w:rPr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[9] Apache Software Foundation, “Apache NiFi: System for Data Flow Automation,” Technical Documentation, 2024.</w:t>
      </w:r>
    </w:p>
    <w:p>
      <w:pPr>
        <w:pStyle w:val="BodyText"/>
        <w:widowControl/>
        <w:spacing w:before="100" w:after="100"/>
        <w:jc w:val="start"/>
        <w:rPr>
          <w:rFonts w:ascii="Arial" w:hAnsi="Arial" w:eastAsia="SimSun" w:cs="Arial"/>
          <w:i/>
          <w:i/>
          <w:iCs/>
          <w:color w:val="auto"/>
          <w:sz w:val="14"/>
          <w:szCs w:val="14"/>
          <w:lang w:val="en-US" w:bidi="ar"/>
        </w:rPr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[10] PostgreSQL Global Development Group, “PostgreSQL 16 Documentation,” 2024.</w:t>
      </w:r>
    </w:p>
    <w:p>
      <w:pPr>
        <w:pStyle w:val="BodyText"/>
        <w:widowControl/>
        <w:spacing w:before="100" w:after="100"/>
        <w:jc w:val="start"/>
        <w:rPr>
          <w:rFonts w:ascii="Arial" w:hAnsi="Arial" w:eastAsia="SimSun" w:cs="Arial"/>
          <w:i/>
          <w:i/>
          <w:iCs/>
          <w:color w:val="auto"/>
          <w:sz w:val="14"/>
          <w:szCs w:val="14"/>
          <w:lang w:val="en-US" w:bidi="ar"/>
        </w:rPr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[11] Apache Software Foundation, “Apache Spark 3.x Documentation,” 2024.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[12] F. Pedregosa et al., “Scikit-learn: Machine Learning in Python – Updated Practices and Extensions,”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Journal of Machine Learning Research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23,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[13] D. Sculley et al., “Hidden Technical Debt in Machine Learning Systems Revisited,”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Communications of the ACM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65, no. 9, pp. 64–73,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[14] C. Rudin, “Stop Explaining Black Box Machine Learning Models for High Stakes Decisions,”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Nature Machine Intelligence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4, pp. 206–215, 2022.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[15] D. López and J. Mazón, “Open-Source Business Intelligence Platforms: A Comparative Study,” </w:t>
      </w:r>
      <w:r>
        <w:rPr>
          <w:rStyle w:val="Emphasis"/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Information Systems Frontiers</w:t>
      </w: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>, vol. 26, 2024.</w:t>
      </w:r>
    </w:p>
    <w:p>
      <w:pPr>
        <w:pStyle w:val="BodyText"/>
        <w:widowControl/>
        <w:spacing w:before="100" w:after="100"/>
        <w:jc w:val="start"/>
        <w:rPr/>
      </w:pPr>
      <w:r>
        <w:rPr>
          <w:rFonts w:eastAsia="SimSun" w:cs="Arial" w:ascii="Arial" w:hAnsi="Arial"/>
          <w:i/>
          <w:iCs/>
          <w:color w:val="auto"/>
          <w:sz w:val="14"/>
          <w:szCs w:val="14"/>
          <w:lang w:val="en-US" w:bidi="ar"/>
        </w:rPr>
        <w:t xml:space="preserve">[16] Kaggle, “Netflix Movies and TV Shows Dataset,” 2024. [Online]. Available: </w:t>
      </w:r>
      <w:hyperlink r:id="rId2">
        <w:r>
          <w:rPr>
            <w:rStyle w:val="Hyperlink"/>
            <w:rFonts w:eastAsia="SimSun" w:cs="Arial" w:ascii="Arial" w:hAnsi="Arial"/>
            <w:i/>
            <w:iCs/>
            <w:color w:val="auto"/>
            <w:sz w:val="14"/>
            <w:szCs w:val="14"/>
            <w:lang w:val="en-US" w:bidi="ar"/>
          </w:rPr>
          <w:t>https://www.kaggle.com/datasets/shivamb/netflix-shows</w:t>
        </w:r>
      </w:hyperlink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[17</w:t>
      </w:r>
      <w:r>
        <w:rPr>
          <w:rStyle w:val="Hyperlink"/>
          <w:rFonts w:eastAsia="SimSun" w:cs="Arial" w:ascii="Arial" w:hAnsi="Arial"/>
          <w:i/>
          <w:iCs/>
          <w:color w:val="000000"/>
          <w:sz w:val="14"/>
          <w:szCs w:val="14"/>
          <w:u w:val="none"/>
          <w:lang w:val="en-US" w:bidi="ar"/>
        </w:rPr>
        <w:t xml:space="preserve">] 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D. J. Abadi, P. A. Boncz and S. Harizopoulos, “The Design and Implementation of Modern Column-Oriented Database Systems,”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Foundations and Trends in Databases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vol. 5, no. 3, pp. 197–280, 2013.</w:t>
        <w:br/>
        <w:t>doi: 10.1561/1900000024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[18] R. Kimball and M. Ross,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The Data Warehouse Toolkit: The Definitive Guide to Dimensional Modeling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, 3rd ed., Wiley, 2013. 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[19] M. Zaharia et al., “Apache Spark: A Unified Engine for Big Data Processing,”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Communications of the ACM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vol. 59, no. 11, pp. 56–65, 2016.</w:t>
        <w:br/>
        <w:t xml:space="preserve">doi: 10.1145/2934664 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[20] F. Pedregosa et al., “Scikit-learn: Machine Learning in Python,”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Journal of Machine Learning Research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vol. 12, pp. 2825–2830, 2011.</w:t>
        <w:br/>
        <w:t xml:space="preserve">http://jmlr.org/papers/v12/pedregosa11a.html 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[21] D. Sculley et al., “Hidden Technical Debt in Machine Learning Systems,”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Advances in Neural Information Processing Systems (NeurIPS)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2015.</w:t>
        <w:br/>
        <w:t xml:space="preserve">doi: 10.48550/arXiv.1506.03099 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[22] J. Dean and S. Ghemawat, “MapReduce: Simplified Data Processing on Large Clusters,”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Communications of the ACM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vol. 51, no. 1, 2008.</w:t>
        <w:br/>
        <w:t xml:space="preserve">doi: 10.1145/1327452.1327492 </w:t>
      </w:r>
    </w:p>
    <w:p>
      <w:pPr>
        <w:pStyle w:val="BodyText"/>
        <w:widowControl/>
        <w:spacing w:before="100" w:after="100"/>
        <w:jc w:val="start"/>
        <w:rPr/>
      </w:pP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 xml:space="preserve">[23] T. Akidau et al., “The Dataflow Model: A Practical Approach to Balancing Correctness, Latency, and Cost in Massive-Scale Systems,” </w:t>
      </w:r>
      <w:r>
        <w:rPr>
          <w:rStyle w:val="Emphasis"/>
          <w:rFonts w:cs="Arial" w:ascii="Arial" w:hAnsi="Arial"/>
          <w:i/>
          <w:iCs/>
          <w:color w:val="000000"/>
          <w:sz w:val="14"/>
          <w:szCs w:val="14"/>
          <w:u w:val="none"/>
        </w:rPr>
        <w:t>Proceedings of the VLDB Endowment</w:t>
      </w:r>
      <w:r>
        <w:rPr>
          <w:rStyle w:val="Hyperlink"/>
          <w:rFonts w:cs="Arial" w:ascii="Arial" w:hAnsi="Arial"/>
          <w:i/>
          <w:iCs/>
          <w:color w:val="000000"/>
          <w:sz w:val="14"/>
          <w:szCs w:val="14"/>
          <w:u w:val="none"/>
        </w:rPr>
        <w:t>, vol. 8, no. 12, 2015.</w:t>
        <w:br/>
        <w:t xml:space="preserve">doi: 10.14778/2824032.2824076  </w:t>
      </w:r>
      <w:r>
        <w:br w:type="page"/>
      </w:r>
    </w:p>
    <w:p>
      <w:pPr>
        <w:pStyle w:val="Heading1"/>
        <w:jc w:val="start"/>
        <w:rPr>
          <w:rFonts w:ascii="Arial" w:hAnsi="Arial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I -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 xml:space="preserve"> Arquitecturas modernas y Data Management</w:t>
      </w:r>
    </w:p>
    <w:p>
      <w:pPr>
        <w:pStyle w:val="Normal"/>
        <w:jc w:val="start"/>
        <w:rPr>
          <w:rFonts w:ascii="Arial" w:hAnsi="Arial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[1] Stonebraker et al., 2022 – Communications of the ACM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2022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M. Stonebraker, P. Brown, A. Poliakov, S. Raman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Communications of the ACM</w:t>
      </w:r>
      <w:r>
        <w:rPr>
          <w:rFonts w:ascii="Arial" w:hAnsi="Arial"/>
        </w:rPr>
        <w:t>, Vol. 65(2)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Plantea que las arquitecturas tradicionales de bases de datos están obsoletas frente a nuevas cargas analíticas, cloud-native y procesamiento distribuido. Argumenta la necesidad de rediseño completo de sistemas de datos.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 para tu diploma:</w:t>
      </w:r>
      <w:r>
        <w:rPr>
          <w:rFonts w:ascii="Arial" w:hAnsi="Arial"/>
        </w:rPr>
        <w:br/>
        <w:t>Fundamenta teóricamente la necesidad de diseñar una arquitectura moderna desde cero basada en tecnologías abiertas.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3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Abadi, Boncz &amp; Harizopoulos, 2022 – Communications of the ACM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2022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D. Abadi, P. Boncz, S. Harizopoulos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Communications of the ACM</w:t>
      </w:r>
      <w:r>
        <w:rPr>
          <w:rFonts w:ascii="Arial" w:hAnsi="Arial"/>
        </w:rPr>
        <w:t>, Vol. 65(7)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Analiza limitaciones y oportunidades del data management en la nube, incluyendo escalabilidad, costo y rendimiento.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Sustenta decisiones sobre arquitectura escalable y distribuida con Spark y PostgreSQL.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4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Wrembel &amp; Koncilia, 2023 – Information Systems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2023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G. Wrembel, C. Koncilia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Information Systems</w:t>
      </w:r>
      <w:r>
        <w:rPr>
          <w:rFonts w:ascii="Arial" w:hAnsi="Arial"/>
        </w:rPr>
        <w:t>, Vol. 109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Estudio profundo sobre evolución de ETL hacia ELT y arquitecturas modernas en data warehousing.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Base teórica directa para modelo híbrido ETL/ELT.</w:t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17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Abadi et al., 2013 – Foundations and Trends in Databases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2013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D. J. Abadi, P. A. Boncz, S. Harizopoulos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Foundations and Trends in Databases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Diseño de bases de datos column-oriented.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Marco histórico para justificar almacenamiento analítico eficiente.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 w:cstheme="minorBidi" w:eastAsiaTheme="minorEastAsia"/>
          <w:color w:val="auto"/>
        </w:rPr>
      </w:pP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[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18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] Kimball &amp; Ross, 2013 – Wiley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2013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R. Kimball, M. Ross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Fonts w:ascii="Arial" w:hAnsi="Arial"/>
        </w:rPr>
        <w:t>Libro técnico (Wiley)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Modelado dimensional clásico para Data Warehousing.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Fundamento tradicional comparativo frente a arquitecturas modernas.</w:t>
      </w:r>
    </w:p>
    <w:p>
      <w:pPr>
        <w:pStyle w:val="Heading1"/>
        <w:jc w:val="start"/>
        <w:rPr>
          <w:rFonts w:ascii="Arial" w:hAnsi="Arial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II -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 xml:space="preserve"> Documentación Técnica (Soporte tecnológico)</w:t>
      </w:r>
    </w:p>
    <w:p>
      <w:pPr>
        <w:pStyle w:val="Normal"/>
        <w:jc w:val="start"/>
        <w:rPr>
          <w:rFonts w:ascii="Arial" w:hAnsi="Arial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 w:cstheme="minorBidi" w:eastAsiaTheme="minorEastAsia"/>
          <w:color w:val="auto"/>
        </w:rPr>
      </w:pP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[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9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] Apache NiFi Documentation, 2024</w:t>
      </w:r>
    </w:p>
    <w:p>
      <w:pPr>
        <w:pStyle w:val="Heading3"/>
        <w:spacing w:before="0" w:after="140"/>
        <w:rPr>
          <w:rFonts w:ascii="Arial" w:hAnsi="Arial" w:cstheme="minorBidi" w:eastAsiaTheme="minorEastAsia"/>
          <w:color w:val="auto"/>
        </w:rPr>
      </w:pP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[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10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] PostgreSQL 16 Documentation, 2024</w:t>
      </w:r>
    </w:p>
    <w:p>
      <w:pPr>
        <w:pStyle w:val="Heading3"/>
        <w:spacing w:before="0" w:after="140"/>
        <w:rPr>
          <w:rFonts w:ascii="Arial" w:hAnsi="Arial" w:cstheme="minorBidi" w:eastAsiaTheme="minorEastAsia"/>
          <w:color w:val="auto"/>
        </w:rPr>
      </w:pP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[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11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] Apache Spark 3.x Documentation, 2024</w:t>
      </w:r>
    </w:p>
    <w:p>
      <w:pPr>
        <w:pStyle w:val="Heading3"/>
        <w:spacing w:before="0" w:after="140"/>
        <w:rPr>
          <w:rFonts w:ascii="Arial" w:hAnsi="Arial" w:cstheme="minorBidi" w:eastAsiaTheme="minorEastAsia"/>
          <w:color w:val="auto"/>
        </w:rPr>
      </w:pP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[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16</w:t>
      </w:r>
      <w:r>
        <w:rPr>
          <w:rStyle w:val="Strong"/>
          <w:rFonts w:asciiTheme="minorHAnsi" w:cstheme="minorBidi" w:eastAsiaTheme="minorEastAsia" w:hAnsiTheme="minorBidi" w:ascii="Arial" w:hAnsi="Arial"/>
          <w:b/>
          <w:bCs/>
          <w:color w:val="auto"/>
        </w:rPr>
        <w:t>] Kaggle Dataset, 2024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Especificaciones técnicas oficiales.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Sustento práctico de implementación (no base teórica).</w:t>
      </w:r>
      <w:r>
        <w:br w:type="page"/>
      </w:r>
    </w:p>
    <w:p>
      <w:pPr>
        <w:pStyle w:val="Heading1"/>
        <w:spacing w:before="0" w:after="140"/>
        <w:rPr>
          <w:rFonts w:ascii="Arial" w:hAnsi="Arial"/>
          <w:sz w:val="22"/>
          <w:szCs w:val="22"/>
        </w:rPr>
      </w:pPr>
      <w:r>
        <w:rPr>
          <w:rFonts w:ascii="Arial" w:hAnsi="Arial" w:cstheme="minorBidi" w:eastAsiaTheme="minorEastAsia"/>
          <w:color w:val="auto"/>
          <w:sz w:val="22"/>
          <w:szCs w:val="22"/>
        </w:rPr>
        <w:t xml:space="preserve">III - </w:t>
      </w:r>
      <w:r>
        <w:rPr>
          <w:rFonts w:ascii="Arial" w:hAnsi="Arial" w:cstheme="minorBidi" w:eastAsiaTheme="minorEastAsia"/>
          <w:color w:val="auto"/>
          <w:sz w:val="22"/>
          <w:szCs w:val="22"/>
        </w:rPr>
        <w:t>Calidad de Datos y Gobernanza</w:t>
      </w:r>
    </w:p>
    <w:p>
      <w:pPr>
        <w:pStyle w:val="Normal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5]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 xml:space="preserve"> Khatri &amp; Brown, 2023 – ACM Computing Surveys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2023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J. Khatri, C. Brown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ACM Computing Surveys</w:t>
      </w:r>
      <w:r>
        <w:rPr>
          <w:rFonts w:ascii="Arial" w:hAnsi="Arial"/>
        </w:rPr>
        <w:t>, Vol. 55(9)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Revisión sistemática sobre calidad de datos en pipelines modernos.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Soporte teórico para módulo de control de calidad automatizado.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6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Fernández et al., 2024 – IEEE Access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2024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A. Fernández, R. García, M. Ruiz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IEEE Access</w:t>
      </w:r>
      <w:r>
        <w:rPr>
          <w:rFonts w:ascii="Arial" w:hAnsi="Arial"/>
        </w:rPr>
        <w:t>, Vol. 12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Automatización de limpieza y evaluación de calidad en entornos heterogéneos.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Justifica implementación de limpieza automatizada con Python/Spark.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 xml:space="preserve">IV - 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Inteligencia de Negocios Open Source</w:t>
      </w:r>
    </w:p>
    <w:p>
      <w:pPr>
        <w:pStyle w:val="Normal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1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5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López &amp; Mazón, 2024 – Information Systems Frontiers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2024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D. López, J. Mazón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Information Systems Frontiers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Comparación de plataformas BI open-source.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Justifica uso de Grafana/Kibana frente a soluciones propietarias.</w:t>
      </w:r>
      <w:r>
        <w:br w:type="page"/>
      </w:r>
    </w:p>
    <w:p>
      <w:pPr>
        <w:pStyle w:val="Heading1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 xml:space="preserve">V - 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Streaming y Procesamiento Distribuido</w:t>
      </w:r>
    </w:p>
    <w:p>
      <w:pPr>
        <w:pStyle w:val="Normal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8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Li et al., 2022 – Future Generation Computer Systems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2022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S. Li, Q. Chen, Z. Zhao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Future Generation Computer Systems</w:t>
      </w:r>
      <w:r>
        <w:rPr>
          <w:rFonts w:ascii="Arial" w:hAnsi="Arial"/>
        </w:rPr>
        <w:t>, Vol. 135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Arquitecturas de ingesta en tiempo real con Kafka.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Fundamenta capa de streaming con Kafka.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22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Dean &amp; Ghemawat, 2008 – Communications of the ACM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2008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J. Dean, S. Ghemawat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Communications of the ACM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Modelo MapReduce.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Base conceptual histórica del procesamiento distribuido.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23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Akidau et al., 2015 – VLDB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2015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T. Akidau et al.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Proceedings of the VLDB Endowment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Modelo Dataflow para sistemas masivos.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Fundamento teórico de sistemas streaming modernos.</w:t>
      </w:r>
      <w:r>
        <w:br w:type="page"/>
      </w:r>
    </w:p>
    <w:p>
      <w:pPr>
        <w:pStyle w:val="Heading1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V️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>I</w:t>
      </w: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  <w:t xml:space="preserve"> - Machine Learning en Sistemas Productivos</w:t>
      </w:r>
    </w:p>
    <w:p>
      <w:pPr>
        <w:pStyle w:val="Normal"/>
        <w:spacing w:before="0" w:after="140"/>
        <w:rPr>
          <w:rFonts w:ascii="Arial" w:hAnsi="Arial" w:cstheme="minorBidi" w:eastAsiaTheme="minorEastAsia"/>
          <w:color w:val="auto"/>
          <w:sz w:val="22"/>
          <w:szCs w:val="22"/>
        </w:rPr>
      </w:pPr>
      <w:r>
        <w:rPr>
          <w:rFonts w:asciiTheme="minorHAnsi" w:cstheme="minorBidi" w:eastAsiaTheme="minorEastAsia" w:hAnsiTheme="minorBidi" w:ascii="Arial" w:hAnsi="Arial"/>
          <w:color w:val="auto"/>
          <w:sz w:val="22"/>
          <w:szCs w:val="22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[1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3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Sculley et al., 2022 – Communications of the ACM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2022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D. Sculley et al.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Communications of the ACM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Deuda técnica en sistemas ML en producción.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Justifica arquitectura reproducible y modular para ML integrado.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[1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4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Rudin, 2022 – Nature Machine Intelligence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2022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C. Rudin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Nature Machine Intelligence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Crítica a modelos black-box en decisiones de alto impacto.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Soporta decisiones sobre interpretabilidad en BI.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3"/>
        <w:spacing w:before="0" w:after="140"/>
        <w:rPr>
          <w:rFonts w:ascii="Arial" w:hAnsi="Arial"/>
        </w:rPr>
      </w:pPr>
      <w:r>
        <w:rPr>
          <w:rStyle w:val="Strong"/>
          <w:rFonts w:ascii="Arial" w:hAnsi="Arial" w:cstheme="minorBidi" w:eastAsiaTheme="minorEastAsia"/>
          <w:b/>
          <w:bCs/>
          <w:color w:val="auto"/>
        </w:rPr>
        <w:t>[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20</w:t>
      </w:r>
      <w:r>
        <w:rPr>
          <w:rStyle w:val="Strong"/>
          <w:rFonts w:ascii="Arial" w:hAnsi="Arial" w:cstheme="minorBidi" w:eastAsiaTheme="minorEastAsia"/>
          <w:b/>
          <w:bCs/>
          <w:color w:val="auto"/>
        </w:rPr>
        <w:t>] Pedregosa et al., 2011 – JMLR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📅 </w:t>
      </w:r>
      <w:r>
        <w:rPr>
          <w:rFonts w:ascii="Arial" w:hAnsi="Arial"/>
        </w:rPr>
        <w:t>2011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👨‍🔬 </w:t>
      </w:r>
      <w:r>
        <w:rPr>
          <w:rFonts w:ascii="Arial" w:hAnsi="Arial"/>
        </w:rPr>
        <w:t>F. Pedregosa et al.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start="709"/>
        <w:rPr>
          <w:rFonts w:ascii="Arial" w:hAnsi="Arial"/>
        </w:rPr>
      </w:pPr>
      <w:r>
        <w:rPr>
          <w:rFonts w:ascii="Arial" w:hAnsi="Arial"/>
        </w:rPr>
        <w:t xml:space="preserve">📚 </w:t>
      </w:r>
      <w:r>
        <w:rPr>
          <w:rStyle w:val="Emphasis"/>
          <w:rFonts w:ascii="Arial" w:hAnsi="Arial"/>
        </w:rPr>
        <w:t>Journal of Machine Learning Research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 xml:space="preserve">🧠 </w:t>
      </w:r>
      <w:r>
        <w:rPr>
          <w:rStyle w:val="Strong"/>
          <w:rFonts w:ascii="Arial" w:hAnsi="Arial"/>
        </w:rPr>
        <w:t>Contenido:</w:t>
      </w:r>
      <w:r>
        <w:rPr>
          <w:rFonts w:ascii="Arial" w:hAnsi="Arial"/>
        </w:rPr>
        <w:br/>
        <w:t>Presentación de Scikit-learn.</w:t>
      </w:r>
    </w:p>
    <w:p>
      <w:pPr>
        <w:pStyle w:val="BodyText"/>
        <w:spacing w:before="0" w:after="140"/>
        <w:rPr>
          <w:rFonts w:ascii="Arial" w:hAnsi="Arial"/>
        </w:rPr>
      </w:pPr>
      <w:r>
        <w:rPr>
          <w:rFonts w:ascii="Arial" w:hAnsi="Arial"/>
        </w:rPr>
        <w:t xml:space="preserve">🎯 </w:t>
      </w:r>
      <w:r>
        <w:rPr>
          <w:rStyle w:val="Strong"/>
          <w:rFonts w:ascii="Arial" w:hAnsi="Arial"/>
        </w:rPr>
        <w:t>Valor:</w:t>
      </w:r>
      <w:r>
        <w:rPr>
          <w:rFonts w:ascii="Arial" w:hAnsi="Arial"/>
        </w:rPr>
        <w:br/>
        <w:t>Base histórica de la herramienta usada.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Bidi"/>
        <w:sz w:val="22"/>
        <w:szCs w:val="22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00f9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Bidi"/>
      <w:color w:val="auto"/>
      <w:kern w:val="0"/>
      <w:sz w:val="22"/>
      <w:szCs w:val="22"/>
      <w:lang w:val="es-MX" w:eastAsia="es-MX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4472C4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4472C4"/>
    </w:rPr>
  </w:style>
  <w:style w:type="character" w:styleId="Ttulo4Car" w:customStyle="1">
    <w:name w:val="Título 4 Car"/>
    <w:basedOn w:val="DefaultParagraphFont"/>
    <w:link w:val="Heading4"/>
    <w:uiPriority w:val="9"/>
    <w:qFormat/>
    <w:rPr>
      <w:rFonts w:ascii="Calibri Light" w:hAnsi="Calibri Light" w:eastAsia="" w:cs="" w:asciiTheme="majorHAnsi" w:cstheme="majorBidi" w:eastAsiaTheme="majorEastAsia" w:hAnsiTheme="majorHAnsi"/>
      <w:b/>
      <w:bCs/>
      <w:i/>
      <w:iCs/>
      <w:color w:themeColor="accent1" w:val="4472C4"/>
    </w:rPr>
  </w:style>
  <w:style w:type="character" w:styleId="Ttulo5Car" w:customStyle="1">
    <w:name w:val="Título 5 Car"/>
    <w:basedOn w:val="DefaultParagraphFont"/>
    <w:link w:val="Heading5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Ttulo6Car" w:customStyle="1">
    <w:name w:val="Título 6 Car"/>
    <w:basedOn w:val="DefaultParagraphFont"/>
    <w:link w:val="Heading6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Ttulo7Car" w:customStyle="1">
    <w:name w:val="Título 7 Car"/>
    <w:basedOn w:val="DefaultParagraphFont"/>
    <w:link w:val="Heading7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text1" w:themeTint="bf" w:val="404040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tuloCar" w:customStyle="1">
    <w:name w:val="Título Car"/>
    <w:basedOn w:val="DefaultParagraphFont"/>
    <w:link w:val="Title"/>
    <w:uiPriority w:val="10"/>
    <w:qFormat/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472C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val="00000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alfinalCar" w:customStyle="1">
    <w:name w:val="Texto nota al final C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TextosinformatoCar" w:customStyle="1">
    <w:name w:val="Texto sin formato C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EncabezadoCar" w:customStyle="1">
    <w:name w:val="Encabezado Car"/>
    <w:basedOn w:val="DefaultParagraphFont"/>
    <w:link w:val="Header"/>
    <w:uiPriority w:val="99"/>
    <w:qFormat/>
    <w:rPr/>
  </w:style>
  <w:style w:type="character" w:styleId="PiedepginaCar" w:customStyle="1">
    <w:name w:val="Pie de página Car"/>
    <w:basedOn w:val="DefaultParagraphFont"/>
    <w:link w:val="Footer"/>
    <w:uiPriority w:val="99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" w:cs="" w:asciiTheme="minorHAnsi" w:cstheme="minorBidi" w:eastAsiaTheme="minorEastAsia" w:hAnsiTheme="minorBidi"/>
      <w:color w:val="auto"/>
      <w:kern w:val="0"/>
      <w:sz w:val="22"/>
      <w:szCs w:val="22"/>
      <w:lang w:val="es-MX" w:eastAsia="es-MX" w:bidi="ar-SA"/>
    </w:rPr>
  </w:style>
  <w:style w:type="paragraph" w:styleId="Title">
    <w:name w:val="Title"/>
    <w:basedOn w:val="Normal"/>
    <w:next w:val="Normal"/>
    <w:link w:val="TtuloCar"/>
    <w:uiPriority w:val="10"/>
    <w:qFormat/>
    <w:pPr>
      <w:pBdr>
        <w:bottom w:val="single" w:sz="8" w:space="4" w:color="4472C4" w:themeColor="accent1"/>
      </w:pBdr>
      <w:spacing w:lineRule="auto" w:line="240" w:before="0" w:after="300"/>
      <w:contextualSpacing/>
    </w:pPr>
    <w:rPr>
      <w:rFonts w:ascii="Calibri Light" w:hAnsi="Calibri Light" w:eastAsia="" w:cs="" w:asciiTheme="majorHAnsi" w:cstheme="majorBidi" w:eastAsiaTheme="majorEastAsia" w:hAnsiTheme="majorHAnsi"/>
      <w:color w:themeColor="text2" w:themeShade="bf" w:val="323E4F"/>
      <w:spacing w:val="5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rFonts w:ascii="Calibri Light" w:hAnsi="Calibri Light" w:eastAsia="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paragraph" w:styleId="Quote">
    <w:name w:val="Quote"/>
    <w:basedOn w:val="Normal"/>
    <w:next w:val="Normal"/>
    <w:link w:val="CitaCar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bottom w:val="single" w:sz="4" w:space="4" w:color="4472C4" w:themeColor="accent1"/>
      </w:pBdr>
      <w:spacing w:before="200" w:after="280"/>
      <w:ind w:start="936" w:end="936"/>
    </w:pPr>
    <w:rPr>
      <w:b/>
      <w:bCs/>
      <w:i/>
      <w:iCs/>
      <w:color w:themeColor="accent1" w:val="4472C4"/>
    </w:rPr>
  </w:style>
  <w:style w:type="paragraph" w:styleId="ListParagraph">
    <w:name w:val="List Paragraph"/>
    <w:basedOn w:val="Normal"/>
    <w:uiPriority w:val="34"/>
    <w:qFormat/>
    <w:pPr>
      <w:spacing w:before="0" w:after="200"/>
      <w:ind w:start="720"/>
      <w:contextualSpacing/>
    </w:pPr>
    <w:rPr/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TextonotaalfinalC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PlainText">
    <w:name w:val="Plain Text"/>
    <w:basedOn w:val="Normal"/>
    <w:link w:val="TextosinformatoC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c341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aggle.com/datasets/shivamb/netflix-show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Application>LibreOffice/25.8.3.2$Windows_X86_64 LibreOffice_project/8ca8d55c161d602844f5428fa4b58097424e324e</Application>
  <AppVersion>15.0000</AppVersion>
  <Pages>6</Pages>
  <Words>1231</Words>
  <Characters>6734</Characters>
  <CharactersWithSpaces>7815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2024-02-27T07:14:00Z</dcterms:created>
  <dc:creator>unknown</dc:creator>
  <dc:description/>
  <dc:language>en-US</dc:language>
  <cp:lastModifiedBy/>
  <dcterms:modified xsi:type="dcterms:W3CDTF">2026-02-27T03:49:49Z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