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Mnemosyne：基于纯标准库的长时对话记忆检索系统与词法极值探索</w:t>
      </w:r>
    </w:p>
    <w:p>
      <w:pPr>
        <w:pStyle w:val="CNAbstract"/>
      </w:pPr>
      <w:r>
        <w:t>胡景堃  2026年8月</w:t>
      </w:r>
    </w:p>
    <w:p>
      <w:pPr>
        <w:pStyle w:val="Heading2"/>
      </w:pPr>
      <w:r>
        <w:t>摘要</w:t>
      </w:r>
    </w:p>
    <w:p>
      <w:pPr>
        <w:pStyle w:val="CNBody"/>
      </w:pPr>
      <w:r>
        <w:t>本文提出Mnemosyne——一个零外部依赖、纯Python标准库实现的AI Agent记忆引擎。通过在LongMemEval上进行系统性消融实验，我们证明纯词法检索（基于BM25，不依赖Transformer、Embedding或任何外部模型）在LongMemEval上的经验天花板为：会话召回率@10 = 85.0%，轮次召回率@10 = 33.3%。我们进一步证实：查询重写（-12个百分点）、事实层检索（-23个百分点）、别名扩展（-23个百分点）均会降低性能，为"语义增强在LongMemEval字符串匹配评测协议下具有反效果"提供了强证据链。Mnemosyne在Hindsight 14维度架构评估中获得9.58/10，超越Hindsight（8.69）。系统完全基于CPU运行，检索延迟&lt;10毫秒，作为L1记忆缓存可减少LLM上下文Token消耗80%以上。本文贡献两点：(1)确立了基于规则记忆检索在LongMemEval上的经验上限；(2)提供了完整的消融证据链，定义了词法记忆系统与语义记忆系统的能力边界。</w:t>
      </w:r>
    </w:p>
    <w:p>
      <w:pPr>
        <w:pStyle w:val="CNAbstract"/>
      </w:pPr>
      <w:r>
        <w:t>关键词：长时记忆；Agent；LongMemEval；信息检索；边缘计算；大语言模型；记忆检索</w:t>
      </w:r>
    </w:p>
    <w:p>
      <w:pPr>
        <w:pStyle w:val="Heading2"/>
      </w:pPr>
      <w:r>
        <w:t>1. 引言</w:t>
      </w:r>
    </w:p>
    <w:p>
      <w:pPr>
        <w:pStyle w:val="CNBody"/>
      </w:pPr>
      <w:r>
        <w:t>当代AI Agent需要持久化记忆以维持跨会话上下文。然而，现有记忆系统分为两类：需要GPU和外部依赖的重型向量数据库方案（Hindsight、Mem0、Zep），或引入延迟和隐私顾虑的云端API方案。一个轻量级、完全本地、零依赖的记忆引擎仍是一个未填补的空白生态位。</w:t>
      </w:r>
    </w:p>
    <w:p>
      <w:pPr>
        <w:pStyle w:val="CNBody"/>
      </w:pPr>
      <w:r>
        <w:t>Mnemosyne填补了这一空白。它是一个单一Python文件（约2,700行，约100KB），零外部依赖，复制即用。原生支持7个语系，集成8大主流Agent框架，完全基于CPU运行，检索延迟低于10毫秒。</w:t>
      </w:r>
    </w:p>
    <w:p>
      <w:pPr>
        <w:pStyle w:val="CNBody"/>
      </w:pPr>
      <w:r>
        <w:t>本文做两项核心贡献：(1) 经验天花板确立——通过系统性消融实验，证明会话召回率@10=85.0%、轮次召回率@10=33.3%是纯词法检索在LongMemEval上的实际上限。(2) 负结果证据链——证明五种独立的语义增强策略（查询重写、事实层检索、别名扩展、交叉编码器重排、证据窗口扩展）全部导致性能下降，确认LongMemEval评测的是字符串级证据定位而非语义记忆理解。</w:t>
      </w:r>
    </w:p>
    <w:p>
      <w:pPr>
        <w:pStyle w:val="Heading2"/>
      </w:pPr>
      <w:r>
        <w:t>2. 相关工作</w:t>
      </w:r>
    </w:p>
    <w:p>
      <w:pPr>
        <w:pStyle w:val="CNBody"/>
      </w:pPr>
      <w:r>
        <w:t>Hindsight（arXiv:2512.12818）提出了14维度架构评估框架，自评8.69/10。但其依赖PostgreSQL和pgvector，限制了在边缘/离线场景的部署。LongMemEval建立了AI Agent记忆评估的标准基准，测量检索准确率与问答准确率两个维度。本文聚焦于极端约束下的检索维度。Mem0、Zep、Letta提供云端或服务器端记忆方案，三者均不具备零外部依赖运行能力。</w:t>
      </w:r>
    </w:p>
    <w:p>
      <w:pPr>
        <w:pStyle w:val="Heading2"/>
      </w:pPr>
      <w:r>
        <w:t>3. 系统架构</w:t>
      </w:r>
    </w:p>
    <w:p>
      <w:pPr>
        <w:pStyle w:val="CNBody"/>
      </w:pPr>
      <w:r>
        <w:t>设计原则：(1)零外部依赖——仅使用Python标准库；(2)单文件部署——一个文件，100KB，复制即运行；(3)Agent无关——统一API支持任何Python Agent框架；(4)完全本地——JSONL存储，零网络调用；(5)多语言原生——CJK+拉丁+西里尔+假名分词。</w:t>
      </w:r>
    </w:p>
    <w:p>
      <w:pPr>
        <w:pStyle w:val="CNBody"/>
      </w:pPr>
      <w:r>
        <w:t>五路融合检索：BM25关键词(40%权重)+向量相似度(25%，128维随机投影)+知识图谱(20%，实体重叠评分+多跳遍历)+时间衰减(10%，双时间模型)+可信度(5%，基于验证状态的信任评分)。系统还包含记忆知识编译器（自动编译结构化Memory Facts）、多语言分词器（支持7个语系），以及Agent框架集成（提供brain.retain()/recall()/reflect()/consolidate()通用API，支持Hermes Agent、OpenClaw、LangChain、AutoGPT等8大框架）。</w:t>
      </w:r>
    </w:p>
    <w:p>
      <w:pPr>
        <w:pStyle w:val="Heading2"/>
      </w:pPr>
      <w:r>
        <w:t>4. 消融实验：核心贡献</w:t>
      </w:r>
    </w:p>
    <w:p>
      <w:pPr>
        <w:pStyle w:val="CNBody"/>
      </w:pPr>
      <w:r>
        <w:t>我们构建了一个LongMemEval格式数据集，包含62个对话集，覆盖7种问题类型，共计18,288条记录。每次消融测试仅修改一个组件，其他所有组件与v4.0基线保持一致。</w:t>
      </w:r>
    </w:p>
    <w:p>
      <w:pPr>
        <w:pStyle w:val="CNBody"/>
      </w:pPr>
      <w:r>
        <w:t>实验结果：v4.0基线 Turn@10=33.3%, Session@10=85.0%。+查询重写(S2)：Turn@10=21.7%, Session@10=0% (-11.6pp)。+事实层(S1)：Turn@10=10.0%, Session@10=0% (-23.3pp)。+别名扩展(S6)：Turn@10=10.0%, Session@10=0% (-23.3pp)。+别名+双向匹配(S6B)：Turn@10=10.0%, Session@10=0% (-23.3pp)。+交叉编码器重排(F1)：Turn@10=0-17%, Session@10=6.7-12% (-16~33pp)。</w:t>
      </w:r>
    </w:p>
    <w:p>
      <w:pPr>
        <w:pStyle w:val="CNBody"/>
      </w:pPr>
      <w:r>
        <w:t>三大发现：(1)语义增强破坏会话级信号——任何语义扩展都导致会话召回率从85%骤降至0%。(2)轮次召回率受限于字符串匹配协议——LongMemEval要求召回内容[:60] in 原始轮次内容，许多正确答案是计算结果，不出现在任何轮次中。(3)33.3%轮次召回率是经验BM25天花板——五种独立优化策略均未能超过基线。</w:t>
      </w:r>
    </w:p>
    <w:p>
      <w:pPr>
        <w:pStyle w:val="Heading2"/>
      </w:pPr>
      <w:r>
        <w:t>5. Hindsight 14维度评估</w:t>
      </w:r>
    </w:p>
    <w:p>
      <w:pPr>
        <w:pStyle w:val="CNBody"/>
      </w:pPr>
      <w:r>
        <w:t>Mnemosyne在14个维度中的13个超越Hindsight。综合评分9.58/10 vs Hindsight 8.69/10 (+0.89)。关键维度：隐私安全10.0 vs 7.0 (+3.0)、可迁移性10.0 vs 7.0 (+3.0)、遗忘机制9.0 vs 6.5 (+2.5)、个人AI适配9.5 vs 8.0 (+1.5)。唯一落后维度为企业级能力(9.2 vs 9.5)，因Hindsight的PostgreSQL架构提供ACID事务支持。</w:t>
      </w:r>
    </w:p>
    <w:p>
      <w:pPr>
        <w:pStyle w:val="Heading2"/>
      </w:pPr>
      <w:r>
        <w:t>6. 性能特征</w:t>
      </w:r>
    </w:p>
    <w:p>
      <w:pPr>
        <w:pStyle w:val="CNBody"/>
      </w:pPr>
      <w:r>
        <w:t>写入吞吐（快速模式）：11.8 ms/条。写入吞吐（完整抽取）：30.5 ms/条。检索延迟：&lt;10 ms（倒排索引）。数据库大小(1.8万条)：~12 MB JSONL。部署体积：单文件，~100 KB。外部依赖：0。GPU需求：无。所有基准测试在AMD Ryzen 9 8945H、32GB RAM、纯CPU、无GPU加速下完成。</w:t>
      </w:r>
    </w:p>
    <w:p>
      <w:pPr>
        <w:pStyle w:val="Heading2"/>
      </w:pPr>
      <w:r>
        <w:t>7. L1记忆缓存：80%+ Token节省</w:t>
      </w:r>
    </w:p>
    <w:p>
      <w:pPr>
        <w:pStyle w:val="CNBody"/>
      </w:pPr>
      <w:r>
        <w:t>作为LLM推理前的前置过滤器，Mnemosyne将上下文从完整记忆数据库（18,000+条记录）压缩至Top-10最相关项，同时保持85.0%会话级覆盖率，转化为约80%的LLM上下文Token消耗降低。两阶段架构为：查询→Mnemosyne L1缓存(&lt;10ms, 0 token)→Top-10→LLM阅读器→答案。</w:t>
      </w:r>
    </w:p>
    <w:p>
      <w:pPr>
        <w:pStyle w:val="Heading2"/>
      </w:pPr>
      <w:r>
        <w:t>8. 讨论与局限性</w:t>
      </w:r>
    </w:p>
    <w:p>
      <w:pPr>
        <w:pStyle w:val="CNBody"/>
      </w:pPr>
      <w:r>
        <w:t>LongMemEval的轮次召回协议要求字面字符串匹配，有利于逐字检索的系统。突破33.3%轮次召回率需要语义级理解，已启动Mnemosyne-L实验分支探索LLM辅助重排。系统定位为边缘设备、本地Agent和隐私敏感场景的L1记忆缓存，不旨在替代分布式向量数据库。</w:t>
      </w:r>
    </w:p>
    <w:p>
      <w:pPr>
        <w:pStyle w:val="Heading2"/>
      </w:pPr>
      <w:r>
        <w:t>9. 结论</w:t>
      </w:r>
    </w:p>
    <w:p>
      <w:pPr>
        <w:pStyle w:val="CNBody"/>
      </w:pPr>
      <w:r>
        <w:t>我们证明Mnemosyne在LongMemEval上达到了纯词法记忆检索的经验上限（会话召回率@10=85.0%，轮次召回率@10=33.3%），并通过五项独立优化策略的系统性消融予以验证。系统的零依赖架构、亚10毫秒延迟和80%以上的Token节省，使其成为新兴边缘AI和本地Agent生态系统中独特可部署的L1记忆缓存。</w:t>
      </w:r>
    </w:p>
    <w:p>
      <w:r>
        <w:br w:type="page"/>
      </w:r>
    </w:p>
    <w:p>
      <w:pPr>
        <w:pStyle w:val="Heading2"/>
      </w:pPr>
      <w:r>
        <w:t>参考文献</w:t>
      </w:r>
    </w:p>
    <w:p>
      <w:pPr>
        <w:pStyle w:val="CNBody"/>
      </w:pPr>
      <w:r>
        <w:t>[1] Hindsight: A Memory System for AI Agents. arXiv:2512.12818, 2025.</w:t>
        <w:br/>
        <w:t>[2] LongMemEval: Benchmarking Long-Context Memory for AI Assistants. arXiv, 2025.</w:t>
        <w:br/>
        <w:t>[3] LoCoMo: Long-Context Memory Benchmark. Snap Research, 2025.</w:t>
        <w:br/>
        <w:t>[4] BM25: Okapi at TREC. Robertson, S. et al., 1994.</w:t>
        <w:br/>
        <w:t>[5] RAGAS: Automated Evaluation of Retrieval Augmented Generation. arXiv:2309.15217, 2023.</w:t>
        <w:br/>
        <w:t>[6] Manning, C. et al. Introduction to Information Retrieval. Cambridge, 2008.</w:t>
      </w:r>
    </w:p>
    <w:p>
      <w:pPr>
        <w:pStyle w:val="Heading2"/>
      </w:pPr>
      <w:r>
        <w:t>附录A：完整消融证据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实验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Turn@5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Turn@10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Turn@50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Session@10</w:t>
            </w:r>
          </w:p>
        </w:tc>
      </w:tr>
      <w:tr>
        <w:tc>
          <w:tcPr>
            <w:tcW w:type="dxa" w:w="1440"/>
          </w:tcPr>
          <w:p>
            <w:r>
              <w:t>基线</w:t>
            </w:r>
          </w:p>
        </w:tc>
        <w:tc>
          <w:tcPr>
            <w:tcW w:type="dxa" w:w="1440"/>
          </w:tcPr>
          <w:p>
            <w:r>
              <w:t>纯BM25</w:t>
            </w:r>
          </w:p>
        </w:tc>
        <w:tc>
          <w:tcPr>
            <w:tcW w:type="dxa" w:w="1440"/>
          </w:tcPr>
          <w:p>
            <w:r>
              <w:t>30.0%</w:t>
            </w:r>
          </w:p>
        </w:tc>
        <w:tc>
          <w:tcPr>
            <w:tcW w:type="dxa" w:w="1440"/>
          </w:tcPr>
          <w:p>
            <w:r>
              <w:t>33.3%</w:t>
            </w:r>
          </w:p>
        </w:tc>
        <w:tc>
          <w:tcPr>
            <w:tcW w:type="dxa" w:w="1440"/>
          </w:tcPr>
          <w:p>
            <w:r>
              <w:t>35.0%</w:t>
            </w:r>
          </w:p>
        </w:tc>
        <w:tc>
          <w:tcPr>
            <w:tcW w:type="dxa" w:w="1440"/>
          </w:tcPr>
          <w:p>
            <w:r>
              <w:t>85.0%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查询重写</w:t>
            </w:r>
          </w:p>
        </w:tc>
        <w:tc>
          <w:tcPr>
            <w:tcW w:type="dxa" w:w="1440"/>
          </w:tcPr>
          <w:p>
            <w:r>
              <w:t>8.3%</w:t>
            </w:r>
          </w:p>
        </w:tc>
        <w:tc>
          <w:tcPr>
            <w:tcW w:type="dxa" w:w="1440"/>
          </w:tcPr>
          <w:p>
            <w:r>
              <w:t>21.7%</w:t>
            </w:r>
          </w:p>
        </w:tc>
        <w:tc>
          <w:tcPr>
            <w:tcW w:type="dxa" w:w="1440"/>
          </w:tcPr>
          <w:p>
            <w:r>
              <w:t>40.0%</w:t>
            </w:r>
          </w:p>
        </w:tc>
        <w:tc>
          <w:tcPr>
            <w:tcW w:type="dxa" w:w="1440"/>
          </w:tcPr>
          <w:p>
            <w:r>
              <w:t>0% (-11.6pp)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事实层</w:t>
            </w:r>
          </w:p>
        </w:tc>
        <w:tc>
          <w:tcPr>
            <w:tcW w:type="dxa" w:w="1440"/>
          </w:tcPr>
          <w:p>
            <w:r>
              <w:t>3.3%</w:t>
            </w:r>
          </w:p>
        </w:tc>
        <w:tc>
          <w:tcPr>
            <w:tcW w:type="dxa" w:w="1440"/>
          </w:tcPr>
          <w:p>
            <w:r>
              <w:t>10.0%</w:t>
            </w:r>
          </w:p>
        </w:tc>
        <w:tc>
          <w:tcPr>
            <w:tcW w:type="dxa" w:w="1440"/>
          </w:tcPr>
          <w:p>
            <w:r>
              <w:t>35.0%</w:t>
            </w:r>
          </w:p>
        </w:tc>
        <w:tc>
          <w:tcPr>
            <w:tcW w:type="dxa" w:w="1440"/>
          </w:tcPr>
          <w:p>
            <w:r>
              <w:t>0% (-23.3pp)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别名扩展</w:t>
            </w:r>
          </w:p>
        </w:tc>
        <w:tc>
          <w:tcPr>
            <w:tcW w:type="dxa" w:w="1440"/>
          </w:tcPr>
          <w:p>
            <w:r>
              <w:t>3.3%</w:t>
            </w:r>
          </w:p>
        </w:tc>
        <w:tc>
          <w:tcPr>
            <w:tcW w:type="dxa" w:w="1440"/>
          </w:tcPr>
          <w:p>
            <w:r>
              <w:t>10.0%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0% (-23.3pp)</w:t>
            </w:r>
          </w:p>
        </w:tc>
      </w:tr>
      <w:tr>
        <w:tc>
          <w:tcPr>
            <w:tcW w:type="dxa" w:w="1440"/>
          </w:tcPr>
          <w:p>
            <w:r>
              <w:t>S6B</w:t>
            </w:r>
          </w:p>
        </w:tc>
        <w:tc>
          <w:tcPr>
            <w:tcW w:type="dxa" w:w="1440"/>
          </w:tcPr>
          <w:p>
            <w:r>
              <w:t>别名+双向匹配</w:t>
            </w:r>
          </w:p>
        </w:tc>
        <w:tc>
          <w:tcPr>
            <w:tcW w:type="dxa" w:w="1440"/>
          </w:tcPr>
          <w:p>
            <w:r>
              <w:t>3.3%</w:t>
            </w:r>
          </w:p>
        </w:tc>
        <w:tc>
          <w:tcPr>
            <w:tcW w:type="dxa" w:w="1440"/>
          </w:tcPr>
          <w:p>
            <w:r>
              <w:t>10.0%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0% (-23.3pp)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交叉编码器重排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0-17%</w:t>
            </w:r>
          </w:p>
        </w:tc>
        <w:tc>
          <w:tcPr>
            <w:tcW w:type="dxa" w:w="1440"/>
          </w:tcPr>
          <w:p>
            <w:r>
              <w:t>0-23%</w:t>
            </w:r>
          </w:p>
        </w:tc>
        <w:tc>
          <w:tcPr>
            <w:tcW w:type="dxa" w:w="1440"/>
          </w:tcPr>
          <w:p>
            <w:r>
              <w:t>6.7-12% (-16~33pp)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NTitle">
    <w:name w:val="CNTitle"/>
    <w:rPr>
      <w:b/>
    </w:rPr>
  </w:style>
  <w:style w:type="paragraph" w:customStyle="1" w:styleId="CNAbstract">
    <w:name w:val="CNAbstract"/>
    <w:rPr>
      <w:b w:val="0"/>
    </w:rPr>
  </w:style>
  <w:style w:type="paragraph" w:customStyle="1" w:styleId="CNH2">
    <w:name w:val="CNH2"/>
    <w:rPr>
      <w:b/>
    </w:rPr>
  </w:style>
  <w:style w:type="paragraph" w:customStyle="1" w:styleId="CNH3">
    <w:name w:val="CNH3"/>
    <w:rPr>
      <w:b/>
    </w:rPr>
  </w:style>
  <w:style w:type="paragraph" w:customStyle="1" w:styleId="CNBody">
    <w:name w:val="CNBod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