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</w:t>
      </w:r>
      <w:r>
        <w:t xml:space="preserve"> </w:t>
      </w:r>
      <w:r>
        <w:t xml:space="preserve">de</w:t>
      </w:r>
      <w:r>
        <w:t xml:space="preserve"> </w:t>
      </w:r>
      <w:r>
        <w:t xml:space="preserve">Validación</w:t>
      </w:r>
      <w:r>
        <w:t xml:space="preserve"> </w:t>
      </w:r>
      <w:r>
        <w:t xml:space="preserve">de</w:t>
      </w:r>
      <w:r>
        <w:t xml:space="preserve"> </w:t>
      </w:r>
      <w:r>
        <w:t xml:space="preserve">Dashboard</w:t>
      </w:r>
      <w:r>
        <w:t xml:space="preserve"> </w:t>
      </w:r>
      <w:r>
        <w:t xml:space="preserve">AEJ</w:t>
      </w:r>
    </w:p>
    <w:p>
      <w:pPr>
        <w:pStyle w:val="Author"/>
      </w:pPr>
      <w:r>
        <w:t xml:space="preserve">Frank</w:t>
      </w:r>
      <w:r>
        <w:t xml:space="preserve"> </w:t>
      </w:r>
      <w:r>
        <w:t xml:space="preserve">Leyva</w:t>
      </w:r>
    </w:p>
    <w:bookmarkStart w:id="30" w:name="Xb7860f8931d7d8160a3e70d628d71c904839ca7"/>
    <w:p>
      <w:pPr>
        <w:pStyle w:val="Heading1"/>
      </w:pPr>
      <w:r>
        <w:t xml:space="preserve">Estructura del Informe de Validación del Dashboard</w: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numPr>
          <w:ilvl w:val="0"/>
          <w:numId w:val="1001"/>
        </w:numPr>
        <w:pStyle w:val="Compact"/>
      </w:pPr>
      <w:r>
        <w:t xml:space="preserve">Propósito del informe</w:t>
      </w:r>
    </w:p>
    <w:p>
      <w:pPr>
        <w:numPr>
          <w:ilvl w:val="0"/>
          <w:numId w:val="1001"/>
        </w:numPr>
        <w:pStyle w:val="Compact"/>
      </w:pPr>
      <w:r>
        <w:t xml:space="preserve">Descripción general del dashboard</w:t>
      </w:r>
    </w:p>
    <w:p>
      <w:pPr>
        <w:numPr>
          <w:ilvl w:val="0"/>
          <w:numId w:val="1001"/>
        </w:numPr>
        <w:pStyle w:val="Compact"/>
      </w:pPr>
      <w:r>
        <w:t xml:space="preserve">Metodología de validación</w:t>
      </w:r>
    </w:p>
    <w:bookmarkEnd w:id="20"/>
    <w:bookmarkStart w:id="21" w:name="resumen-ejecutivo"/>
    <w:p>
      <w:pPr>
        <w:pStyle w:val="Heading2"/>
      </w:pPr>
      <w:r>
        <w:t xml:space="preserve">2. Resumen Ejecutivo</w:t>
      </w:r>
    </w:p>
    <w:p>
      <w:pPr>
        <w:numPr>
          <w:ilvl w:val="0"/>
          <w:numId w:val="1002"/>
        </w:numPr>
        <w:pStyle w:val="Compact"/>
      </w:pPr>
      <w:r>
        <w:t xml:space="preserve">Hallazgos principales</w:t>
      </w:r>
    </w:p>
    <w:p>
      <w:pPr>
        <w:numPr>
          <w:ilvl w:val="0"/>
          <w:numId w:val="1002"/>
        </w:numPr>
        <w:pStyle w:val="Compact"/>
      </w:pPr>
      <w:r>
        <w:t xml:space="preserve">Recomendaciones clave</w:t>
      </w:r>
    </w:p>
    <w:bookmarkEnd w:id="21"/>
    <w:bookmarkStart w:id="22" w:name="datos-utilizados"/>
    <w:p>
      <w:pPr>
        <w:pStyle w:val="Heading2"/>
      </w:pPr>
      <w:r>
        <w:t xml:space="preserve">3. Datos Utilizados</w:t>
      </w:r>
    </w:p>
    <w:p>
      <w:pPr>
        <w:numPr>
          <w:ilvl w:val="0"/>
          <w:numId w:val="1003"/>
        </w:numPr>
        <w:pStyle w:val="Compact"/>
      </w:pPr>
      <w:r>
        <w:t xml:space="preserve">Fuentes de datos (PER_2023, PAR_2023)</w:t>
      </w:r>
    </w:p>
    <w:p>
      <w:pPr>
        <w:numPr>
          <w:ilvl w:val="0"/>
          <w:numId w:val="1003"/>
        </w:numPr>
        <w:pStyle w:val="Compact"/>
      </w:pPr>
      <w:r>
        <w:t xml:space="preserve">Descripción de las estructuras de datos</w:t>
      </w:r>
    </w:p>
    <w:p>
      <w:pPr>
        <w:numPr>
          <w:ilvl w:val="0"/>
          <w:numId w:val="1003"/>
        </w:numPr>
        <w:pStyle w:val="Compact"/>
      </w:pPr>
      <w:r>
        <w:t xml:space="preserve">Proceso de preparación de datos</w:t>
      </w:r>
    </w:p>
    <w:bookmarkEnd w:id="22"/>
    <w:bookmarkStart w:id="23" w:name="metodología-de-validación"/>
    <w:p>
      <w:pPr>
        <w:pStyle w:val="Heading2"/>
      </w:pPr>
      <w:r>
        <w:t xml:space="preserve">4. Metodología de Validación</w:t>
      </w:r>
    </w:p>
    <w:p>
      <w:pPr>
        <w:numPr>
          <w:ilvl w:val="0"/>
          <w:numId w:val="1004"/>
        </w:numPr>
        <w:pStyle w:val="Compact"/>
      </w:pPr>
      <w:r>
        <w:t xml:space="preserve">Enfoque general</w:t>
      </w:r>
    </w:p>
    <w:p>
      <w:pPr>
        <w:numPr>
          <w:ilvl w:val="0"/>
          <w:numId w:val="1004"/>
        </w:numPr>
        <w:pStyle w:val="Compact"/>
      </w:pPr>
      <w:r>
        <w:t xml:space="preserve">Criterios de validación</w:t>
      </w:r>
    </w:p>
    <w:p>
      <w:pPr>
        <w:numPr>
          <w:ilvl w:val="0"/>
          <w:numId w:val="1004"/>
        </w:numPr>
        <w:pStyle w:val="Compact"/>
      </w:pPr>
      <w:r>
        <w:t xml:space="preserve">Herramientas y técnicas utilizadas</w:t>
      </w:r>
    </w:p>
    <w:bookmarkEnd w:id="23"/>
    <w:bookmarkStart w:id="24" w:name="validación-por-tipo-de-variable"/>
    <w:p>
      <w:pPr>
        <w:pStyle w:val="Heading2"/>
      </w:pPr>
      <w:r>
        <w:t xml:space="preserve">5. Validación por Tipo de Variable</w:t>
      </w:r>
    </w:p>
    <w:p>
      <w:pPr>
        <w:pStyle w:val="FirstParagraph"/>
      </w:pPr>
      <w:r>
        <w:t xml:space="preserve">5.1 Variables de Razón</w:t>
      </w:r>
      <w:r>
        <w:t xml:space="preserve"> </w:t>
      </w:r>
      <w:r>
        <w:t xml:space="preserve">- Comparación de cálculos manuales vs. dashboard</w:t>
      </w:r>
      <w:r>
        <w:t xml:space="preserve"> </w:t>
      </w:r>
      <w:r>
        <w:t xml:space="preserve">- Comparación con resultados publicados</w:t>
      </w:r>
      <w:r>
        <w:t xml:space="preserve"> </w:t>
      </w:r>
      <w:r>
        <w:t xml:space="preserve">- Casos de prueba específicos</w:t>
      </w:r>
    </w:p>
    <w:p>
      <w:pPr>
        <w:pStyle w:val="BodyText"/>
      </w:pPr>
      <w:r>
        <w:t xml:space="preserve">5.2 Variables de Intervalo</w:t>
      </w:r>
      <w:r>
        <w:t xml:space="preserve"> </w:t>
      </w:r>
      <w:r>
        <w:t xml:space="preserve">- Comparación de cálculos manuales vs. dashboard</w:t>
      </w:r>
      <w:r>
        <w:t xml:space="preserve"> </w:t>
      </w:r>
      <w:r>
        <w:t xml:space="preserve">- Comparación con resultados publicados</w:t>
      </w:r>
      <w:r>
        <w:t xml:space="preserve"> </w:t>
      </w:r>
      <w:r>
        <w:t xml:space="preserve">- Casos de prueba específicos</w:t>
      </w:r>
    </w:p>
    <w:p>
      <w:pPr>
        <w:pStyle w:val="BodyText"/>
      </w:pPr>
      <w:r>
        <w:t xml:space="preserve">5.3 Variables Ordinales</w:t>
      </w:r>
      <w:r>
        <w:t xml:space="preserve"> </w:t>
      </w:r>
      <w:r>
        <w:t xml:space="preserve">- Comparación de cálculos manuales vs. dashboard</w:t>
      </w:r>
      <w:r>
        <w:t xml:space="preserve"> </w:t>
      </w:r>
      <w:r>
        <w:t xml:space="preserve">- Comparación con resultados publicados</w:t>
      </w:r>
      <w:r>
        <w:t xml:space="preserve"> </w:t>
      </w:r>
      <w:r>
        <w:t xml:space="preserve">- Casos de prueba específicos</w:t>
      </w:r>
    </w:p>
    <w:p>
      <w:pPr>
        <w:pStyle w:val="BodyText"/>
      </w:pPr>
      <w:r>
        <w:t xml:space="preserve">5.4 Variables Categóricas</w:t>
      </w:r>
      <w:r>
        <w:t xml:space="preserve"> </w:t>
      </w:r>
      <w:r>
        <w:t xml:space="preserve">- Comparación de cálculos manuales vs. dashboard</w:t>
      </w:r>
      <w:r>
        <w:t xml:space="preserve"> </w:t>
      </w:r>
      <w:r>
        <w:t xml:space="preserve">- Comparación con resultados publicados</w:t>
      </w:r>
      <w:r>
        <w:t xml:space="preserve"> </w:t>
      </w:r>
      <w:r>
        <w:t xml:space="preserve">- Casos de prueba específicos</w:t>
      </w:r>
    </w:p>
    <w:p>
      <w:pPr>
        <w:pStyle w:val="BodyText"/>
      </w:pPr>
      <w:r>
        <w:t xml:space="preserve">5.5 Variables Binarias</w:t>
      </w:r>
      <w:r>
        <w:t xml:space="preserve"> </w:t>
      </w:r>
      <w:r>
        <w:t xml:space="preserve">- Comparación de cálculos manuales vs. dashboard</w:t>
      </w:r>
      <w:r>
        <w:t xml:space="preserve"> </w:t>
      </w:r>
      <w:r>
        <w:t xml:space="preserve">- Comparación con resultados publicados</w:t>
      </w:r>
      <w:r>
        <w:t xml:space="preserve"> </w:t>
      </w:r>
      <w:r>
        <w:t xml:space="preserve">- Casos de prueba específicos</w:t>
      </w:r>
    </w:p>
    <w:p>
      <w:pPr>
        <w:pStyle w:val="BodyText"/>
      </w:pPr>
      <w:r>
        <w:t xml:space="preserve">5.6 Variables Nominales (Abiertas)</w:t>
      </w:r>
      <w:r>
        <w:t xml:space="preserve"> </w:t>
      </w:r>
      <w:r>
        <w:t xml:space="preserve">- Comparación de cálculos manuales vs. dashboard</w:t>
      </w:r>
      <w:r>
        <w:t xml:space="preserve"> </w:t>
      </w:r>
      <w:r>
        <w:t xml:space="preserve">- Comparación con resultados publicados</w:t>
      </w:r>
      <w:r>
        <w:t xml:space="preserve"> </w:t>
      </w:r>
      <w:r>
        <w:t xml:space="preserve">- Casos de prueba específicos</w:t>
      </w:r>
    </w:p>
    <w:bookmarkEnd w:id="24"/>
    <w:bookmarkStart w:id="25" w:name="validación-de-visualizaciones"/>
    <w:p>
      <w:pPr>
        <w:pStyle w:val="Heading2"/>
      </w:pPr>
      <w:r>
        <w:t xml:space="preserve">6. Validación de Visualizaciones</w:t>
      </w:r>
    </w:p>
    <w:p>
      <w:pPr>
        <w:numPr>
          <w:ilvl w:val="0"/>
          <w:numId w:val="1005"/>
        </w:numPr>
        <w:pStyle w:val="Compact"/>
      </w:pPr>
      <w:r>
        <w:t xml:space="preserve">Precisión de gráficos y mapas</w:t>
      </w:r>
    </w:p>
    <w:p>
      <w:pPr>
        <w:numPr>
          <w:ilvl w:val="0"/>
          <w:numId w:val="1005"/>
        </w:numPr>
        <w:pStyle w:val="Compact"/>
      </w:pPr>
      <w:r>
        <w:t xml:space="preserve">Comparación con visualizaciones de referencia</w:t>
      </w:r>
    </w:p>
    <w:p>
      <w:pPr>
        <w:numPr>
          <w:ilvl w:val="0"/>
          <w:numId w:val="1005"/>
        </w:numPr>
        <w:pStyle w:val="Compact"/>
      </w:pPr>
      <w:r>
        <w:t xml:space="preserve">Evaluación de la interpretabilidad</w:t>
      </w:r>
    </w:p>
    <w:bookmarkEnd w:id="25"/>
    <w:bookmarkStart w:id="26" w:name="pruebas-de-filtros-y-controles"/>
    <w:p>
      <w:pPr>
        <w:pStyle w:val="Heading2"/>
      </w:pPr>
      <w:r>
        <w:t xml:space="preserve">7. Pruebas de Filtros y Controles</w:t>
      </w:r>
    </w:p>
    <w:p>
      <w:pPr>
        <w:numPr>
          <w:ilvl w:val="0"/>
          <w:numId w:val="1006"/>
        </w:numPr>
        <w:pStyle w:val="Compact"/>
      </w:pPr>
      <w:r>
        <w:t xml:space="preserve">Validación de funcionalidad de filtros</w:t>
      </w:r>
    </w:p>
    <w:p>
      <w:pPr>
        <w:numPr>
          <w:ilvl w:val="0"/>
          <w:numId w:val="1006"/>
        </w:numPr>
        <w:pStyle w:val="Compact"/>
      </w:pPr>
      <w:r>
        <w:t xml:space="preserve">Consistencia de resultados al aplicar filtros</w:t>
      </w:r>
    </w:p>
    <w:p>
      <w:pPr>
        <w:numPr>
          <w:ilvl w:val="0"/>
          <w:numId w:val="1006"/>
        </w:numPr>
        <w:pStyle w:val="Compact"/>
      </w:pPr>
      <w:r>
        <w:t xml:space="preserve">Casos de prueba específicos</w:t>
      </w:r>
    </w:p>
    <w:bookmarkEnd w:id="26"/>
    <w:bookmarkStart w:id="27" w:name="problemas-identificados-y-soluciones"/>
    <w:p>
      <w:pPr>
        <w:pStyle w:val="Heading2"/>
      </w:pPr>
      <w:r>
        <w:t xml:space="preserve">8. Problemas Identificados y Soluciones</w:t>
      </w:r>
    </w:p>
    <w:p>
      <w:pPr>
        <w:numPr>
          <w:ilvl w:val="0"/>
          <w:numId w:val="1007"/>
        </w:numPr>
        <w:pStyle w:val="Compact"/>
      </w:pPr>
      <w:r>
        <w:t xml:space="preserve">Listado de discrepancias encontradas</w:t>
      </w:r>
    </w:p>
    <w:p>
      <w:pPr>
        <w:numPr>
          <w:ilvl w:val="0"/>
          <w:numId w:val="1007"/>
        </w:numPr>
        <w:pStyle w:val="Compact"/>
      </w:pPr>
      <w:r>
        <w:t xml:space="preserve">Origen de cada problema</w:t>
      </w:r>
    </w:p>
    <w:p>
      <w:pPr>
        <w:numPr>
          <w:ilvl w:val="0"/>
          <w:numId w:val="1007"/>
        </w:numPr>
        <w:pStyle w:val="Compact"/>
      </w:pPr>
      <w:r>
        <w:t xml:space="preserve">Soluciones implementadas o propuestas</w:t>
      </w:r>
    </w:p>
    <w:bookmarkEnd w:id="27"/>
    <w:bookmarkStart w:id="28" w:name="conclusiones-y-recomendaciones"/>
    <w:p>
      <w:pPr>
        <w:pStyle w:val="Heading2"/>
      </w:pPr>
      <w:r>
        <w:t xml:space="preserve">9. Conclusiones y Recomendaciones</w:t>
      </w:r>
    </w:p>
    <w:p>
      <w:pPr>
        <w:numPr>
          <w:ilvl w:val="0"/>
          <w:numId w:val="1008"/>
        </w:numPr>
        <w:pStyle w:val="Compact"/>
      </w:pPr>
      <w:r>
        <w:t xml:space="preserve">Evaluación general de la validez del dashboard</w:t>
      </w:r>
    </w:p>
    <w:p>
      <w:pPr>
        <w:numPr>
          <w:ilvl w:val="0"/>
          <w:numId w:val="1008"/>
        </w:numPr>
        <w:pStyle w:val="Compact"/>
      </w:pPr>
      <w:r>
        <w:t xml:space="preserve">Áreas de mejora</w:t>
      </w:r>
    </w:p>
    <w:p>
      <w:pPr>
        <w:numPr>
          <w:ilvl w:val="0"/>
          <w:numId w:val="1008"/>
        </w:numPr>
        <w:pStyle w:val="Compact"/>
      </w:pPr>
      <w:r>
        <w:t xml:space="preserve">Recomendaciones para futuros desarrollos</w:t>
      </w:r>
    </w:p>
    <w:bookmarkEnd w:id="28"/>
    <w:bookmarkStart w:id="29" w:name="anexos"/>
    <w:p>
      <w:pPr>
        <w:pStyle w:val="Heading2"/>
      </w:pPr>
      <w:r>
        <w:t xml:space="preserve">Anexos</w:t>
      </w:r>
    </w:p>
    <w:p>
      <w:pPr>
        <w:numPr>
          <w:ilvl w:val="0"/>
          <w:numId w:val="1009"/>
        </w:numPr>
        <w:pStyle w:val="Compact"/>
      </w:pPr>
      <w:r>
        <w:t xml:space="preserve">Código R utilizado para validación</w:t>
      </w:r>
    </w:p>
    <w:p>
      <w:pPr>
        <w:numPr>
          <w:ilvl w:val="0"/>
          <w:numId w:val="1009"/>
        </w:numPr>
        <w:pStyle w:val="Compact"/>
      </w:pPr>
      <w:r>
        <w:t xml:space="preserve">Tablas comparativas detalladas</w:t>
      </w:r>
    </w:p>
    <w:p>
      <w:pPr>
        <w:numPr>
          <w:ilvl w:val="0"/>
          <w:numId w:val="1009"/>
        </w:numPr>
        <w:pStyle w:val="Compact"/>
      </w:pPr>
      <w:r>
        <w:t xml:space="preserve">Referencias a documentación técnica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Validación de Dashboard AEJ</dc:title>
  <dc:creator>Frank Leyva</dc:creator>
  <cp:keywords/>
  <dcterms:created xsi:type="dcterms:W3CDTF">2025-03-03T22:21:12Z</dcterms:created>
  <dcterms:modified xsi:type="dcterms:W3CDTF">2025-03-03T22:21:12Z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