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Supporting Information</w:t>
      </w:r>
    </w:p>
    <w:p>
      <w:r>
        <w:rPr>
          <w:i/>
        </w:rPr>
        <w:t>A Silicon-Rich, Aluminum-Poor Interphase Templated by an In Situ Silsesquioxane Network Enables Reversible Magnesium Metal Anodes</w:t>
      </w:r>
    </w:p>
    <w:p>
      <w:r>
        <w:t>Author One,1 Author Two,1 and Corresponding Author1,*</w:t>
      </w:r>
    </w:p>
    <w:p>
      <w:r>
        <w:rPr>
          <w:rFonts w:eastAsia="宋体"/>
          <w:b/>
          <w:sz w:val="26"/>
        </w:rPr>
        <w:t>Experimental Section</w:t>
      </w:r>
    </w:p>
    <w:p>
      <w:r>
        <w:rPr>
          <w:rFonts w:eastAsia="宋体"/>
          <w:b/>
          <w:sz w:val="22"/>
        </w:rPr>
        <w:t>Materials and Electrolyte Preparation</w:t>
      </w:r>
    </w:p>
    <w:p>
      <w:pPr>
        <w:spacing w:line="312" w:lineRule="auto"/>
      </w:pPr>
      <w:r>
        <w:t>The all-phenyl complex (APC) electrolyte was prepared by reacting AlCl3 with PhMgCl in tetrahydrofuran (THF) following established procedures.[8,14] poly-APC was obtained by adding the octa-functional polyhedral oligomeric silsesquioxane (POSS) monomer to APC and curing it in situ to form a self-standing gel.[18] All preparation and handling were carried out under an inert atmosphere. [Exact compositions, monomer identity, curing agent, and curing conditions to be supplied by the authors.]</w:t>
      </w:r>
    </w:p>
    <w:p>
      <w:r>
        <w:rPr>
          <w:rFonts w:eastAsia="宋体"/>
          <w:b/>
          <w:sz w:val="22"/>
        </w:rPr>
        <w:t>Cell Assembly</w:t>
      </w:r>
    </w:p>
    <w:p>
      <w:pPr>
        <w:spacing w:line="312" w:lineRule="auto"/>
      </w:pPr>
      <w:r>
        <w:t>Mg||Mo6S8 full cells, Mg||Mg symmetric cells, and Mg||Cu cells were assembled in coin cells with magnesium foil electrodes and glass-fiber (GF/D) separators. Chevrel-phase Mo6S8 cathodes were prepared as described previously.[1,29] [Electrode loadings, areal capacities, and cell formats to be supplied.]</w:t>
      </w:r>
    </w:p>
    <w:p>
      <w:r>
        <w:rPr>
          <w:rFonts w:eastAsia="宋体"/>
          <w:b/>
          <w:sz w:val="22"/>
        </w:rPr>
        <w:t>Electrochemical Measurements</w:t>
      </w:r>
    </w:p>
    <w:p>
      <w:pPr>
        <w:spacing w:line="312" w:lineRule="auto"/>
      </w:pPr>
      <w:r>
        <w:t>Mg||Mo6S8 cells were cycled galvanostatically at 0.5C and 1C; capacity retention is reported relative to the stabilized reversible capacity at cycle 5, with cycles 1–4 treated as formation. Symmetric Mg||Mg cells were cycled at 0.5 mA cm-2 and 0.5 mAh cm-2. Multi-rate cyclic voltammetry, potentiodynamic (Tafel) polarization, and critical-current-density tests were performed as described in the main text. Average Coulombic efficiency on Cu was evaluated with the Aurbach reservoir (macrocycling) protocol.[31] Mg2+ transference numbers were determined by the Bruce–Vincent steady-state method, combining potentiostatic polarization with impedance before and after polarization.[30] In situ electrochemical impedance spectra were acquired after each plating step and analyzed by the distribution of relaxation times.[36]</w:t>
      </w:r>
    </w:p>
    <w:p>
      <w:r>
        <w:rPr>
          <w:rFonts w:eastAsia="宋体"/>
          <w:b/>
          <w:sz w:val="22"/>
        </w:rPr>
        <w:t>Materials Characterization</w:t>
      </w:r>
    </w:p>
    <w:p>
      <w:pPr>
        <w:spacing w:line="312" w:lineRule="auto"/>
      </w:pPr>
      <w:r>
        <w:t>Time-of-flight secondary-ion mass spectrometry (ToF-SIMS) was performed in negative-ion mode with Cs+ sputter depth profiling; intensities were corrected for the borosilicate-separator baseline, and only the poly-APC excess above that baseline was assigned to the POSS layer. X-ray photoelectron spectroscopy (XPS) used Al Kα radiation with Ar+ sputter depth profiling (0/10/20 nm); spectra were charge-referenced to adventitious C 1s at 284.8 eV, background-subtracted with a Shirley function,[37] and fitted with Gaussian–Lorentzian GL(30) line shapes. Raman spectroscopy, X-ray diffraction (for Mg texture), and scanning electron microscopy with energy-dispersive X-ray spectroscopy (SEM/EDS) were performed on cycled electrodes. The EDS silicon signal localizes on the glass-fiber separator and is an artifact, so the silicon-enrichment result rests on ToF-SIMS.</w:t>
      </w:r>
    </w:p>
    <w:p>
      <w:r>
        <w:rPr>
          <w:rFonts w:eastAsia="宋体"/>
          <w:b/>
          <w:sz w:val="26"/>
        </w:rPr>
        <w:t>Computational Methods</w:t>
      </w:r>
    </w:p>
    <w:p>
      <w:r>
        <w:rPr>
          <w:rFonts w:eastAsia="宋体"/>
          <w:b/>
          <w:sz w:val="22"/>
        </w:rPr>
        <w:t>Molecular DFT</w:t>
      </w:r>
    </w:p>
    <w:p>
      <w:pPr>
        <w:spacing w:line="312" w:lineRule="auto"/>
      </w:pPr>
      <w:r>
        <w:t>Molecular calculations used the B3LYP functional[23,24] with the D3(BJ) dispersion correction[25] and def2-TZVP//def2-SVP basis sets,[26] together with the SMD continuum solvation model for THF.[27] APC anion and cation structures were optimized and frequency-verified, and relative free energies at 298 K defined the Schlenk speciation. Vertical and adiabatic ionization potentials and electron affinities were converted to potentials versus Mg2+/Mg, and stepwise reductive-decomposition pathways were mapped. Electron affinities were cross-checked with the ωB97X-D[38] and M06-2X[39] functionals, and wavefunction and electrostatic-potential analysis used Multiwfn.[40]</w:t>
      </w:r>
    </w:p>
    <w:p>
      <w:r>
        <w:rPr>
          <w:rFonts w:eastAsia="宋体"/>
          <w:b/>
          <w:sz w:val="22"/>
        </w:rPr>
        <w:t>Periodic DFT and Ab Initio Molecular Dynamics</w:t>
      </w:r>
    </w:p>
    <w:p>
      <w:pPr>
        <w:spacing w:line="312" w:lineRule="auto"/>
      </w:pPr>
      <w:r>
        <w:t>Periodic calculations used CP2K[32] with the PBE functional[41] and D3 dispersion,[25] GTH pseudopotentials,[42] and MOLOPT basis sets.[43] A Mg(0001) slab, with its work function validated against experiment, was used to compute Al adatom adsorption, Al substitution and Mg–Al alloying energetics, candidate-SEI formation energies, densities of states and Mg|SEI band alignment, and Mg2+ migration barriers by the climbing-image nudged elastic band method.[44] Interface ab initio molecular dynamics containing the real cation and aluminate anion were run under constant-potential conditions; the band gaps quoted in the main text are k-point values. Periodic structures were rendered with VESTA.[45]</w:t>
      </w:r>
    </w:p>
    <w:p>
      <w:r>
        <w:rPr>
          <w:rFonts w:eastAsia="宋体"/>
          <w:b/>
          <w:sz w:val="22"/>
        </w:rPr>
        <w:t>Classical Molecular Dynamics</w:t>
      </w:r>
    </w:p>
    <w:p>
      <w:pPr>
        <w:spacing w:line="312" w:lineRule="auto"/>
      </w:pPr>
      <w:r>
        <w:t>Classical MD used GROMACS[46] with an OPLS all-atom force field,[47] particle-mesh Ewald electrostatics,[48] and a Nosé–Hoover thermostat,[49,50] over 3×100 ns trajectories at 298 K for bare-APC and the cured gel. Radial distribution functions, first-shell coordination numbers, SSIP/CIP/AGG speciation, cation–anion–solvent–network interaction-energy decomposition, self-diffusion coefficients, and Mg2+ transference numbers were extracted from the equilibrated trajectories.</w:t>
      </w:r>
    </w:p>
    <w:p>
      <w:r>
        <w:rPr>
          <w:rFonts w:eastAsia="宋体"/>
          <w:b/>
          <w:sz w:val="22"/>
        </w:rPr>
        <w:t>Machine-Learning Force Field</w:t>
      </w:r>
    </w:p>
    <w:p>
      <w:pPr>
        <w:spacing w:line="312" w:lineRule="auto"/>
      </w:pPr>
      <w:r>
        <w:t>For reactive, large-cell, long-time interface simulation, a foundation machine-learning force field (MACE-MP-0,[51] with CHGNet[52] as a cross-check) was fine-tuned on DFT and AIMD reference labels for the {Mg, Al, Cl, O, C, H, Si} system, using an active-learning loop that returned high-uncertainty configurations to DFT. The model was validated against held-out DFT (energy and force mean absolute errors reported in the main text) before production runs of the Mg(0001)|electrolyte interface.</w:t>
      </w:r>
    </w:p>
    <w:p>
      <w:r>
        <w:rPr>
          <w:rFonts w:eastAsia="宋体"/>
          <w:b/>
          <w:sz w:val="26"/>
        </w:rPr>
        <w:t>Supplementary Figures and Tables</w:t>
      </w:r>
    </w:p>
    <w:p>
      <w:pPr>
        <w:spacing w:line="312" w:lineRule="auto"/>
      </w:pPr>
      <w:r>
        <w:t>Figure S1 (below) shows the depth-resolved multi-element XPS used in the main-text Figure 3. Additional supplementary items, to be assembled from the analysis outputs, include: Tafel polarization curves and fits; in situ DRT spectra and trends; Aurbach and Mg||Cu Coulombic-efficiency data; Bruce–Vincent transference data and Nyquist fits; the classical-MD transport table (self-diffusion coefficients and transference numbers); DFT speciation and redox-ladder tables; candidate-SEI formation energies and band gaps; and MLFF validation (force/energy mean absolute errors and learning curve).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56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XPS_multiel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56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Figure S1. Depth-resolved XPS core levels (Al 2p, Si 2p, Cl 2p, Mg 1s, O 1s, C 1s) for bare-APC and poly-APC at etch depths of 0, 10, and 20 nm. Open circles: raw data; grey line: Shirley background; shaded peaks: fitted Gaussian–Lorentzian components; black line: envelope.</w:t>
      </w:r>
    </w:p>
    <w:p>
      <w:r>
        <w:rPr>
          <w:rFonts w:eastAsia="宋体"/>
          <w:b/>
          <w:sz w:val="22"/>
        </w:rPr>
        <w:t>Mg Full-Cell Performance Benchmark (Literature)</w:t>
      </w:r>
    </w:p>
    <w:p>
      <w:pPr>
        <w:spacing w:line="312" w:lineRule="auto"/>
      </w:pPr>
      <w:r>
        <w:t>Table S1 compiles the reported non-aqueous magnesium-metal full cells used for the cycle-life versus Coulombic-efficiency benchmark in Figure 2e. Values are reproduced as stated in the cited sources. The confidence column records how directly each number could be verified (high: confirmed from the abstract or publisher text; med: consistent across secondary sources with the primary PDF inaccessible; low: single secondary source or a 2026 report); low-confidence and 2026 entries are listed for completeness but were not independently confirmed here and should be checked against the primary source before publication. This work is included for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System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Cathode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Electrolyte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Cycles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CE %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Ret. %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Rate (C)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Year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DOI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b/>
                <w:sz w:val="13"/>
              </w:rPr>
              <w:t>Conf.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this work 1C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poly-APC gel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1592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99.9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this work 0.5C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poly-APC gel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842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99.9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Aurbach 2000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DCC (Grignard)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0.05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10.1038/35037553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Mohtadi 2012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Mg(BH4)2-LiBH4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2012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10.1002/anie.201204913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med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Kim 2011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HMDS-AlCl3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98.5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2011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10.1038/ncomms1435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med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Pan 2016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1,4-PAQ (organic)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Mg(HMDS)2-4MgCl2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90.4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2016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10.1002/aenm.201600140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Yoo 2017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exp-TiS2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MgCl2-AlCl3 (MMC)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2017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10.1038/s41467-017-00431-9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Nguyen 2020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Mg(OTf)2-MgCl2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90.8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10.1016/j.xcrp.2020.100265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PTB gel 2023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PTB gel-polymer (APC-derived)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95.0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10.1126/sciadv.adh1181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med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MLCC 2023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MgCl2-LiCl all-inorganic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10000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10.1002/eem2.12327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med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Yang 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TFSI + SiBr4/TMSP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99.5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10.1039/D6SC00095A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low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Ren 2023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PAQS (organic)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APC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99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5.0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2023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10.1016/j.cej.2022.139570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Chen 2024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MVOH/rGO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APC + Mg(TFSI)2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850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10.1007/s40820-024-01410-8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Qu 2025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CuSe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Mg(TFSI)2-MgCl2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10.1038/s41467-025-56556-9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Abouzari 2021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Cu-porphyrin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APC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10.1002/cssc.202100340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Liang 2011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MoS2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Mg(AlCl3Bu)2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95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0.1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2011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10.1002/adma.201003560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high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Gu 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Mg(OTf)2 + InBr3/BHFP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1700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83.7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10.1002/aenm.70844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low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Zhang 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boron dual-anion (YBTFC)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4500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3.0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10.1002/adfm.202520292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low</w:t>
            </w:r>
          </w:p>
        </w:tc>
      </w:tr>
      <w:tr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Xiang 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Mo6S8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(nanoconfined Mg)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3000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NA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10.1002/adma.202520754</w:t>
            </w:r>
          </w:p>
        </w:tc>
        <w:tc>
          <w:tcPr>
            <w:tcW w:type="dxa" w:w="864"/>
          </w:tcPr>
          <w:p>
            <w:r>
              <w:rPr>
                <w:rFonts w:eastAsia="宋体"/>
                <w:sz w:val="12"/>
              </w:rPr>
              <w:t>low</w:t>
            </w:r>
          </w:p>
        </w:tc>
      </w:tr>
    </w:tbl>
    <w:p>
      <w:r>
        <w:rPr>
          <w:sz w:val="17"/>
        </w:rPr>
        <w:t>Table S1. Reported non-aqueous Mg-metal full cells (electrolyte, cathode, cycle life, Coulombic efficiency, capacity retention, rate) underlying the Figure 2e Pareto benchmark.</w:t>
      </w:r>
    </w:p>
    <w:p>
      <w:r>
        <w:rPr>
          <w:rFonts w:eastAsia="宋体"/>
          <w:b/>
          <w:sz w:val="26"/>
        </w:rPr>
        <w:t>Supplementary References</w:t>
      </w:r>
    </w:p>
    <w:p>
      <w:pPr>
        <w:spacing w:line="288" w:lineRule="auto"/>
      </w:pPr>
      <w:r>
        <w:t>[36] T. H. Wan, M. Saccoccio, C. Chen, F. Ciucci, “Influence of the Discretization Methods on the Distribution of Relaxation Times Deconvolution: Implementing Radial Basis Functions with DRTtools,” Electrochim. Acta 2015, 184, 483–499.</w:t>
      </w:r>
    </w:p>
    <w:p>
      <w:pPr>
        <w:spacing w:line="288" w:lineRule="auto"/>
      </w:pPr>
      <w:r>
        <w:t>[37] D. A. Shirley, “High-Resolution X-Ray Photoemission Spectrum of the Valence Bands of Gold,” Phys. Rev. B 1972, 5, 4709–4714.</w:t>
      </w:r>
    </w:p>
    <w:p>
      <w:pPr>
        <w:spacing w:line="288" w:lineRule="auto"/>
      </w:pPr>
      <w:r>
        <w:t>[38] J.-D. Chai, M. Head-Gordon, “Long-range corrected hybrid density functionals with damped atom–atom dispersion corrections,” Phys. Chem. Chem. Phys. 2008, 10, 6615–6620.</w:t>
      </w:r>
    </w:p>
    <w:p>
      <w:pPr>
        <w:spacing w:line="288" w:lineRule="auto"/>
      </w:pPr>
      <w:r>
        <w:t>[39] Y. Zhao, D. G. Truhlar, “The M06 suite of density functionals for main-group thermochemistry, kinetics, noncovalent interactions, excited states, and transition elements,” Theor. Chem. Acc. 2008, 120, 215–241.</w:t>
      </w:r>
    </w:p>
    <w:p>
      <w:pPr>
        <w:spacing w:line="288" w:lineRule="auto"/>
      </w:pPr>
      <w:r>
        <w:t>[40] T. Lu, F. Chen, “Multiwfn: A multifunctional wavefunction analyzer,” J. Comput. Chem. 2012, 33, 580–592.</w:t>
      </w:r>
    </w:p>
    <w:p>
      <w:pPr>
        <w:spacing w:line="288" w:lineRule="auto"/>
      </w:pPr>
      <w:r>
        <w:t>[41] J. P. Perdew, K. Burke, M. Ernzerhof, “Generalized Gradient Approximation Made Simple,” Phys. Rev. Lett. 1996, 77, 3865–3868.</w:t>
      </w:r>
    </w:p>
    <w:p>
      <w:pPr>
        <w:spacing w:line="288" w:lineRule="auto"/>
      </w:pPr>
      <w:r>
        <w:t>[42] S. Goedecker, M. Teter, J. Hutter, “Separable dual-space Gaussian pseudopotentials,” Phys. Rev. B 1996, 54, 1703–1710.</w:t>
      </w:r>
    </w:p>
    <w:p>
      <w:pPr>
        <w:spacing w:line="288" w:lineRule="auto"/>
      </w:pPr>
      <w:r>
        <w:t>[43] J. VandeVondele, J. Hutter, “Gaussian basis sets for accurate calculations on molecular systems in gas and condensed phases,” J. Chem. Phys. 2007, 127, 114105.</w:t>
      </w:r>
    </w:p>
    <w:p>
      <w:pPr>
        <w:spacing w:line="288" w:lineRule="auto"/>
      </w:pPr>
      <w:r>
        <w:t>[44] G. Henkelman, B. P. Uberuaga, H. Jónsson, “A climbing image nudged elastic band method for finding saddle points and minimum energy paths,” J. Chem. Phys. 2000, 113, 9901–9904.</w:t>
      </w:r>
    </w:p>
    <w:p>
      <w:pPr>
        <w:spacing w:line="288" w:lineRule="auto"/>
      </w:pPr>
      <w:r>
        <w:t>[45] K. Momma, F. Izumi, “VESTA 3 for three-dimensional visualization of crystal, volumetric and morphology data,” J. Appl. Crystallogr. 2011, 44, 1272–1276.</w:t>
      </w:r>
    </w:p>
    <w:p>
      <w:pPr>
        <w:spacing w:line="288" w:lineRule="auto"/>
      </w:pPr>
      <w:r>
        <w:t>[46] M. J. Abraham, T. Murtola, R. Schulz, S. Páll, J. C. Smith, B. Hess, E. Lindahl, “GROMACS: High performance molecular simulations through multi-level parallelism from laptops to supercomputers,” SoftwareX 2015, 1–2, 19–25.</w:t>
      </w:r>
    </w:p>
    <w:p>
      <w:pPr>
        <w:spacing w:line="288" w:lineRule="auto"/>
      </w:pPr>
      <w:r>
        <w:t>[47] W. L. Jorgensen, D. S. Maxwell, J. Tirado-Rives, “Development and Testing of the OPLS All-Atom Force Field on Conformational Energetics and Properties of Organic Liquids,” J. Am. Chem. Soc. 1996, 118, 11225–11236.</w:t>
      </w:r>
    </w:p>
    <w:p>
      <w:pPr>
        <w:spacing w:line="288" w:lineRule="auto"/>
      </w:pPr>
      <w:r>
        <w:t>[48] U. Essmann, L. Perera, M. L. Berkowitz, T. Darden, H. Lee, L. G. Pedersen, “A smooth particle mesh Ewald method,” J. Chem. Phys. 1995, 103, 8577–8593.</w:t>
      </w:r>
    </w:p>
    <w:p>
      <w:pPr>
        <w:spacing w:line="288" w:lineRule="auto"/>
      </w:pPr>
      <w:r>
        <w:t>[49] S. Nosé, “A unified formulation of the constant temperature molecular dynamics methods,” J. Chem. Phys. 1984, 81, 511–519.</w:t>
      </w:r>
    </w:p>
    <w:p>
      <w:pPr>
        <w:spacing w:line="288" w:lineRule="auto"/>
      </w:pPr>
      <w:r>
        <w:t>[50] W. G. Hoover, “Canonical dynamics: Equilibrium phase-space distributions,” Phys. Rev. A 1985, 31, 1695–1697.</w:t>
      </w:r>
    </w:p>
    <w:p>
      <w:pPr>
        <w:spacing w:line="288" w:lineRule="auto"/>
      </w:pPr>
      <w:r>
        <w:t>[51] I. Batatia, et al., “A foundation model for atomistic materials chemistry,” arXiv:2401.00096, 2024.</w:t>
      </w:r>
    </w:p>
    <w:p>
      <w:pPr>
        <w:spacing w:line="288" w:lineRule="auto"/>
      </w:pPr>
      <w:r>
        <w:t>[52] B. Deng, P. Zhong, K. Jun, J. Riebesell, K. Han, C. J. Bartel, G. Ceder, “CHGNet as a pretrained universal neural network potential for charge-informed atomistic modelling,” Nat. Mach. Intell. 2023, 5, 1031–1041.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