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3A5F"/>
          <w:sz w:val="52"/>
          <w:szCs w:val="52"/>
        </w:rPr>
        <w:t xml:space="preserve">PERCORSO DI STUDIO</w:t>
      </w:r>
    </w:p>
    <w:p>
      <w:pPr>
        <w:spacing w:after="40"/>
        <w:jc w:val="center"/>
      </w:pPr>
      <w:r>
        <w:rPr>
          <w:b/>
          <w:bCs/>
          <w:color w:val="2E6E9E"/>
          <w:sz w:val="32"/>
          <w:szCs w:val="32"/>
        </w:rPr>
        <w:t xml:space="preserve">Fondamenti Teorici dello Stack LLM Locale</w:t>
      </w:r>
    </w:p>
    <w:p>
      <w:pPr>
        <w:spacing w:after="340"/>
        <w:jc w:val="center"/>
      </w:pPr>
      <w:r>
        <w:rPr>
          <w:i/>
          <w:iCs/>
          <w:color w:val="5A6270"/>
          <w:sz w:val="22"/>
          <w:szCs w:val="22"/>
        </w:rPr>
        <w:t xml:space="preserve">Il «perché» e il «cosa capire» dietro la guida di installazione</w:t>
      </w:r>
    </w:p>
    <w:p>
      <w:pPr>
        <w:jc w:val="center"/>
      </w:pPr>
      <w:r>
        <w:rPr>
          <w:color w:val="5A6270"/>
          <w:sz w:val="19"/>
          <w:szCs w:val="19"/>
        </w:rPr>
        <w:t xml:space="preserve">Runtime · Quantizzazione · Embeddings · RAG · Agenti · Context Engineering</w:t>
      </w:r>
    </w:p>
    <w:p>
      <w:pPr>
        <w:spacing w:before="480"/>
        <w:jc w:val="center"/>
      </w:pPr>
      <w:r>
        <w:rPr>
          <w:b/>
          <w:bCs/>
          <w:color w:val="1F3A5F"/>
          <w:sz w:val="20"/>
          <w:szCs w:val="20"/>
        </w:rPr>
        <w:t xml:space="preserve">Documento di studio · v2 · Agosto 2026</w:t>
      </w:r>
    </w:p>
    <w:p>
      <w:pPr>
        <w:jc w:val="center"/>
      </w:pPr>
      <w:r>
        <w:rPr>
          <w:i/>
          <w:iCs/>
          <w:color w:val="5A6270"/>
          <w:sz w:val="18"/>
          <w:szCs w:val="18"/>
        </w:rPr>
        <w:t xml:space="preserve">Complemento teorico di «Guida_Installazione_Stack_LLM»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0 · Come leggere questo documento</w:t>
      </w:r>
    </w:p>
    <w:p>
      <w:pPr>
        <w:spacing w:after="100" w:line="278"/>
      </w:pPr>
      <w:r>
        <w:rPr>
          <w:sz w:val="21"/>
          <w:szCs w:val="21"/>
        </w:rPr>
        <w:t xml:space="preserve">Questo documento è il  </w:t>
      </w:r>
      <w:r>
        <w:rPr>
          <w:b/>
          <w:bCs/>
          <w:sz w:val="21"/>
          <w:szCs w:val="21"/>
        </w:rPr>
        <w:t xml:space="preserve"> complemento teorico</w:t>
      </w:r>
      <w:r>
        <w:rPr>
          <w:sz w:val="21"/>
          <w:szCs w:val="21"/>
        </w:rPr>
        <w:t xml:space="preserve"> della guida di installazione. Dove la guida risponde a «</w:t>
      </w:r>
      <w:r>
        <w:rPr>
          <w:i/>
          <w:iCs/>
          <w:sz w:val="21"/>
          <w:szCs w:val="21"/>
        </w:rPr>
        <w:t xml:space="preserve">come faccio</w:t>
      </w:r>
      <w:r>
        <w:rPr>
          <w:sz w:val="21"/>
          <w:szCs w:val="21"/>
        </w:rPr>
        <w:t xml:space="preserve">», qui rispondiamo a «</w:t>
      </w:r>
      <w:r>
        <w:rPr>
          <w:i/>
          <w:iCs/>
          <w:sz w:val="21"/>
          <w:szCs w:val="21"/>
        </w:rPr>
        <w:t xml:space="preserve">perché funziona così</w:t>
      </w:r>
      <w:r>
        <w:rPr>
          <w:sz w:val="21"/>
          <w:szCs w:val="21"/>
        </w:rPr>
        <w:t xml:space="preserve">» e «</w:t>
      </w:r>
      <w:r>
        <w:rPr>
          <w:i/>
          <w:iCs/>
          <w:sz w:val="21"/>
          <w:szCs w:val="21"/>
        </w:rPr>
        <w:t xml:space="preserve">cosa devo capire a fondo</w:t>
      </w:r>
      <w:r>
        <w:rPr>
          <w:sz w:val="21"/>
          <w:szCs w:val="21"/>
        </w:rPr>
        <w:t xml:space="preserve">». I due documenti si leggono in parallelo: per ogni fase pratica della guida, qui trovi i fondamenti che la rendono comprensibile invece che meccanica.</w:t>
      </w:r>
    </w:p>
    <w:p>
      <w:pPr>
        <w:spacing w:after="100" w:line="278"/>
      </w:pPr>
      <w:r>
        <w:rPr>
          <w:b/>
          <w:bCs/>
          <w:sz w:val="21"/>
          <w:szCs w:val="21"/>
        </w:rPr>
        <w:t xml:space="preserve">Obiettivo formativo: </w:t>
      </w:r>
      <w:r>
        <w:rPr>
          <w:sz w:val="21"/>
          <w:szCs w:val="21"/>
        </w:rPr>
        <w:t xml:space="preserve">non «far girare i comandi» ma «capire cosa succede», così da saper diagnosticare, ottimizzare e adattare lo stack a contesti diversi. È la differenza tra eseguire una ricetta e saper cucinare.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Mappa di corrispondenza guida ↔ teoria</w:t>
      </w:r>
    </w:p>
    <w:tbl>
      <w:tblPr>
        <w:tblW w:type="dxa" w:w="93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3200"/>
        <w:gridCol w:w="3200"/>
        <w:gridCol w:w="2900"/>
      </w:tblGrid>
      <w:tr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nella Guida</w:t>
            </w:r>
          </w:p>
        </w:tc>
        <w:tc>
          <w:tcPr>
            <w:tcW w:type="dxa" w:w="3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Capitolo teorico qui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Concetto chiave</w:t>
            </w:r>
          </w:p>
        </w:tc>
      </w:tr>
      <w:tr>
        <w:tc>
          <w:tcPr>
            <w:tcW w:type="dxa" w:w="3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1 — Ollama + modelli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Cap. 2 — L1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Runtime, quantizzazione, VRAM</w:t>
            </w:r>
          </w:p>
        </w:tc>
      </w:tr>
      <w:tr>
        <w:tc>
          <w:tcPr>
            <w:tcW w:type="dxa" w:w="3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3 — book-to-skill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Cap. 3 — L2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Embeddings, chunking, skill</w:t>
            </w:r>
          </w:p>
        </w:tc>
      </w:tr>
      <w:tr>
        <w:tc>
          <w:tcPr>
            <w:tcW w:type="dxa" w:w="3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2 — AnythingLLM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Cap. 4 — L3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 RAG, tool calling</w:t>
            </w:r>
          </w:p>
        </w:tc>
      </w:tr>
      <w:tr>
        <w:tc>
          <w:tcPr>
            <w:tcW w:type="dxa" w:w="3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Fase 4 — OpenWorker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Cap. 4 — L3 Agenti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Loop agentico, permessi</w:t>
            </w:r>
          </w:p>
        </w:tc>
      </w:tr>
      <w:tr>
        <w:tc>
          <w:tcPr>
            <w:tcW w:type="dxa" w:w="3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Metodi (README)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Cap. 5 — L4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 engineering</w:t>
            </w:r>
          </w:p>
        </w:tc>
      </w:tr>
    </w:tbl>
    <w:p>
      <w:pPr>
        <w:pBdr>
          <w:left w:val="single" w:color="2E6E9E" w:sz="24" w:space="10"/>
        </w:pBdr>
        <w:shd w:fill="EAF1F7" w:color="auto" w:val="clear"/>
        <w:spacing w:after="120" w:before="80"/>
      </w:pPr>
      <w:r>
        <w:rPr>
          <w:b/>
          <w:bCs/>
          <w:color w:val="2E6E9E"/>
          <w:sz w:val="20"/>
          <w:szCs w:val="20"/>
        </w:rPr>
        <w:t xml:space="preserve">NOTA.  </w:t>
      </w:r>
      <w:r>
        <w:rPr>
          <w:sz w:val="20"/>
          <w:szCs w:val="20"/>
        </w:rPr>
        <w:t xml:space="preserve">L'ordine dei capitoli segue i livelli architetturali (L1→L4), non l'ordine di installazione. Si studia dal basso verso l'alto perché ogni concetto teorico presuppone quello sotto.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1 · Il problema di fondo: perché tutto questo stack</w:t>
      </w:r>
    </w:p>
    <w:p>
      <w:pPr>
        <w:spacing w:after="100" w:line="278"/>
      </w:pPr>
      <w:r>
        <w:rPr>
          <w:sz w:val="21"/>
          <w:szCs w:val="21"/>
        </w:rPr>
        <w:t xml:space="preserve">Prima dei livelli, la domanda madre: perché non basta un LLM «puro»? Perché serve un'architettura?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I due limiti strutturali degli LLM</w:t>
      </w:r>
    </w:p>
    <w:p>
      <w:pPr>
        <w:spacing w:after="100" w:line="278"/>
      </w:pPr>
      <w:r>
        <w:rPr>
          <w:sz w:val="21"/>
          <w:szCs w:val="21"/>
        </w:rPr>
        <w:t xml:space="preserve">Un modello linguistico ha due debolezze intrinseche che nessuna dimensione risolve da sola. Primo: la  </w:t>
      </w:r>
      <w:r>
        <w:rPr>
          <w:b/>
          <w:bCs/>
          <w:sz w:val="21"/>
          <w:szCs w:val="21"/>
        </w:rPr>
        <w:t xml:space="preserve"> conoscenza è congelata</w:t>
      </w:r>
      <w:r>
        <w:rPr>
          <w:sz w:val="21"/>
          <w:szCs w:val="21"/>
        </w:rPr>
        <w:t xml:space="preserve"> al momento dell'addestramento — non sa nulla dei tuoi documenti né di eventi successivi al cutoff. Secondo: è  </w:t>
      </w:r>
      <w:r>
        <w:rPr>
          <w:b/>
          <w:bCs/>
          <w:sz w:val="21"/>
          <w:szCs w:val="21"/>
        </w:rPr>
        <w:t xml:space="preserve"> stateless</w:t>
      </w:r>
      <w:r>
        <w:rPr>
          <w:sz w:val="21"/>
          <w:szCs w:val="21"/>
        </w:rPr>
        <w:t xml:space="preserve"> — non ricorda nulla tra una conversazione e l'altra. Questi due limiti generano il problema più noto: le  </w:t>
      </w:r>
      <w:r>
        <w:rPr>
          <w:b/>
          <w:bCs/>
          <w:sz w:val="21"/>
          <w:szCs w:val="21"/>
        </w:rPr>
        <w:t xml:space="preserve"> allucinazioni</w:t>
      </w:r>
      <w:r>
        <w:rPr>
          <w:sz w:val="21"/>
          <w:szCs w:val="21"/>
        </w:rPr>
        <w:t xml:space="preserve">, cioè risposte plausibili ma false, prodotte quando il modello «riempie i vuoti» con probabilità statistica invece che con fatti.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La risposta architetturale</w:t>
      </w:r>
    </w:p>
    <w:p>
      <w:pPr>
        <w:spacing w:after="100" w:line="278"/>
      </w:pPr>
      <w:r>
        <w:rPr>
          <w:sz w:val="21"/>
          <w:szCs w:val="21"/>
        </w:rPr>
        <w:t xml:space="preserve">Ogni livello dello stack attacca un pezzo del problema. </w:t>
      </w:r>
      <w:r>
        <w:rPr>
          <w:b/>
          <w:bCs/>
          <w:color w:val="2E7D32"/>
          <w:sz w:val="21"/>
          <w:szCs w:val="21"/>
        </w:rPr>
        <w:t xml:space="preserve">L1</w:t>
      </w:r>
      <w:r>
        <w:rPr>
          <w:sz w:val="21"/>
          <w:szCs w:val="21"/>
        </w:rPr>
        <w:t xml:space="preserve"> rende il modello eseguibile e privato. </w:t>
      </w:r>
      <w:r>
        <w:rPr>
          <w:b/>
          <w:bCs/>
          <w:color w:val="1565C0"/>
          <w:sz w:val="21"/>
          <w:szCs w:val="21"/>
        </w:rPr>
        <w:t xml:space="preserve">L2</w:t>
      </w:r>
      <w:r>
        <w:rPr>
          <w:sz w:val="21"/>
          <w:szCs w:val="21"/>
        </w:rPr>
        <w:t xml:space="preserve"> gli fornisce conoscenza esterna aggiornata (contro il limite del congelamento). </w:t>
      </w:r>
      <w:r>
        <w:rPr>
          <w:b/>
          <w:bCs/>
          <w:color w:val="C62828"/>
          <w:sz w:val="21"/>
          <w:szCs w:val="21"/>
        </w:rPr>
        <w:t xml:space="preserve">L3</w:t>
      </w:r>
      <w:r>
        <w:rPr>
          <w:sz w:val="21"/>
          <w:szCs w:val="21"/>
        </w:rPr>
        <w:t xml:space="preserve"> lo fa interrogare quei dati (RAG, contro le allucinazioni) o agire (agenti). </w:t>
      </w:r>
      <w:r>
        <w:rPr>
          <w:b/>
          <w:bCs/>
          <w:color w:val="6A1B9A"/>
          <w:sz w:val="21"/>
          <w:szCs w:val="21"/>
        </w:rPr>
        <w:t xml:space="preserve">L4</w:t>
      </w:r>
      <w:r>
        <w:rPr>
          <w:sz w:val="21"/>
          <w:szCs w:val="21"/>
        </w:rPr>
        <w:t xml:space="preserve"> governa come tutto questo si compone nel tempo. La piramide non è complessità gratuita: ogni mattone neutralizza una debolezza specifica.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Il filo causale dei livelli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L4  Metodo        →  «come orchestro conoscenza e azione nel tempo»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▲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L3  Azione        →  «interrogo (RAG) o eseguo (agente)»       [contro allucinazioni]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▲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L2  Conoscenza    →  «fornisco dati esterni aggiornati»        [contro congelamento]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▲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L1  Infrastruttura→  «eseguo il modello in locale e privato»   [fondazione]</w:t>
      </w:r>
    </w:p>
    <w:p>
      <w:r>
        <w:br w:type="page"/>
      </w:r>
    </w:p>
    <w:p>
      <w:pPr>
        <w:shd w:fill="2E7D32" w:color="auto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CAPITOLO 2 · L1 — INFRASTRUTTURA (la teoria dietro la Fase 1)</w:t>
      </w:r>
    </w:p>
    <w:p>
      <w:pPr>
        <w:spacing w:after="100" w:line="278"/>
      </w:pPr>
      <w:r>
        <w:rPr>
          <w:sz w:val="21"/>
          <w:szCs w:val="21"/>
        </w:rPr>
        <w:t xml:space="preserve">La guida ti fa installare Ollama e scaricare Qwen3. Qui capisci  </w:t>
      </w:r>
      <w:r>
        <w:rPr>
          <w:i/>
          <w:iCs/>
          <w:sz w:val="21"/>
          <w:szCs w:val="21"/>
        </w:rPr>
        <w:t xml:space="preserve"> cosa</w:t>
      </w:r>
      <w:r>
        <w:rPr>
          <w:sz w:val="21"/>
          <w:szCs w:val="21"/>
        </w:rPr>
        <w:t xml:space="preserve"> stai realmente mettendo in moto e perché le scelte di modello sono vincolate dal tuo hardware.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6"/>
          <w:szCs w:val="26"/>
        </w:rPr>
        <w:t xml:space="preserve">2.1 Cos'è davvero un runtime di inferenza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Inferenza vs addestramento</w:t>
      </w:r>
    </w:p>
    <w:p>
      <w:pPr>
        <w:spacing w:after="100" w:line="278"/>
      </w:pPr>
      <w:r>
        <w:rPr>
          <w:sz w:val="21"/>
          <w:szCs w:val="21"/>
        </w:rPr>
        <w:t xml:space="preserve">Un LLM ha due fasi di vita nettamente diverse. L'</w:t>
      </w:r>
      <w:r>
        <w:rPr>
          <w:b/>
          <w:bCs/>
          <w:sz w:val="21"/>
          <w:szCs w:val="21"/>
        </w:rPr>
        <w:t xml:space="preserve">addestramento</w:t>
      </w:r>
      <w:r>
        <w:rPr>
          <w:sz w:val="21"/>
          <w:szCs w:val="21"/>
        </w:rPr>
        <w:t xml:space="preserve"> (training) è il processo — costosissimo, fatto una volta — in cui il modello «impara» aggiustando miliardi di parametri su enormi corpus. L'</w:t>
      </w:r>
      <w:r>
        <w:rPr>
          <w:b/>
          <w:bCs/>
          <w:sz w:val="21"/>
          <w:szCs w:val="21"/>
        </w:rPr>
        <w:t xml:space="preserve">inferenza</w:t>
      </w:r>
      <w:r>
        <w:rPr>
          <w:sz w:val="21"/>
          <w:szCs w:val="21"/>
        </w:rPr>
        <w:t xml:space="preserve"> è l'uso: dato un prompt, il modello produce token uno alla volta usando i parametri già fissati. Un runtime come Ollama gestisce  </w:t>
      </w:r>
      <w:r>
        <w:rPr>
          <w:b/>
          <w:bCs/>
          <w:sz w:val="21"/>
          <w:szCs w:val="21"/>
        </w:rPr>
        <w:t xml:space="preserve"> solo l'inferenza</w:t>
      </w:r>
      <w:r>
        <w:rPr>
          <w:sz w:val="21"/>
          <w:szCs w:val="21"/>
        </w:rPr>
        <w:t xml:space="preserve">: carica i pesi in memoria, riceve il prompt, calcola la sequenza di token in uscita. Non modifica nulla del modello.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l'endpoint OpenAI-compatibile è centrale</w:t>
      </w:r>
    </w:p>
    <w:p>
      <w:pPr>
        <w:spacing w:after="100" w:line="278"/>
      </w:pPr>
      <w:r>
        <w:rPr>
          <w:sz w:val="21"/>
          <w:szCs w:val="21"/>
        </w:rPr>
        <w:t xml:space="preserve">Ollama espone le sue funzioni via una REST API che  </w:t>
      </w:r>
      <w:r>
        <w:rPr>
          <w:b/>
          <w:bCs/>
          <w:sz w:val="21"/>
          <w:szCs w:val="21"/>
        </w:rPr>
        <w:t xml:space="preserve"> imita il formato dell'API di OpenAI</w:t>
      </w:r>
      <w:r>
        <w:rPr>
          <w:sz w:val="21"/>
          <w:szCs w:val="21"/>
        </w:rPr>
        <w:t xml:space="preserve">. Questo non è un dettaglio: è ciò che rende lo stack componibile. Qualsiasi applicazione scritta per parlare con OpenAI (AnythingLLM, OpenWorker, editor di codice) può puntare a </w:t>
      </w:r>
      <w:r>
        <w:rPr>
          <w:b/>
          <w:bCs/>
          <w:sz w:val="21"/>
          <w:szCs w:val="21"/>
        </w:rPr>
        <w:t xml:space="preserve">localhost:11434</w:t>
      </w:r>
      <w:r>
        <w:rPr>
          <w:sz w:val="21"/>
          <w:szCs w:val="21"/>
        </w:rPr>
        <w:t xml:space="preserve"> e funzionare senza modifiche. L'endpoint è il  </w:t>
      </w:r>
      <w:r>
        <w:rPr>
          <w:b/>
          <w:bCs/>
          <w:sz w:val="21"/>
          <w:szCs w:val="21"/>
        </w:rPr>
        <w:t xml:space="preserve"> connettore universale</w:t>
      </w:r>
      <w:r>
        <w:rPr>
          <w:sz w:val="21"/>
          <w:szCs w:val="21"/>
        </w:rPr>
        <w:t xml:space="preserve">: è il motivo per cui installi il runtime una volta sola e ci monti sopra teste diverse.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6"/>
          <w:szCs w:val="26"/>
        </w:rPr>
        <w:t xml:space="preserve">2.2 Quantizzazione: il concetto che governa tutto il tuo hardware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Cos'è la quantizzazione</w:t>
      </w:r>
    </w:p>
    <w:p>
      <w:pPr>
        <w:spacing w:after="100" w:line="278"/>
      </w:pPr>
      <w:r>
        <w:rPr>
          <w:sz w:val="21"/>
          <w:szCs w:val="21"/>
        </w:rPr>
        <w:t xml:space="preserve">Un modello «grezzo» memorizza ogni parametro come numero in virgola mobile a 16 o 32 bit. La  </w:t>
      </w:r>
      <w:r>
        <w:rPr>
          <w:b/>
          <w:bCs/>
          <w:sz w:val="21"/>
          <w:szCs w:val="21"/>
        </w:rPr>
        <w:t xml:space="preserve"> quantizzazione</w:t>
      </w:r>
      <w:r>
        <w:rPr>
          <w:sz w:val="21"/>
          <w:szCs w:val="21"/>
        </w:rPr>
        <w:t xml:space="preserve"> riduce questa precisione — tipicamente a 4 bit (</w:t>
      </w:r>
      <w:r>
        <w:rPr>
          <w:b/>
          <w:bCs/>
          <w:sz w:val="21"/>
          <w:szCs w:val="21"/>
        </w:rPr>
        <w:t xml:space="preserve">Q4</w:t>
      </w:r>
      <w:r>
        <w:rPr>
          <w:sz w:val="21"/>
          <w:szCs w:val="21"/>
        </w:rPr>
        <w:t xml:space="preserve">) — rappresentando ogni peso con meno informazione. Il risultato: il modello occupa  </w:t>
      </w:r>
      <w:r>
        <w:rPr>
          <w:b/>
          <w:bCs/>
          <w:sz w:val="21"/>
          <w:szCs w:val="21"/>
        </w:rPr>
        <w:t xml:space="preserve"> molta meno memoria</w:t>
      </w:r>
      <w:r>
        <w:rPr>
          <w:sz w:val="21"/>
          <w:szCs w:val="21"/>
        </w:rPr>
        <w:t xml:space="preserve"> (circa 1/4 rispetto a FP16) al costo di una perdita di qualità minima e controllata. È il compromesso che rende eseguibili in locale modelli che altrimenti richiederebbero hardware da datacenter.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Q4_K_M è lo standard</w:t>
      </w:r>
    </w:p>
    <w:p>
      <w:pPr>
        <w:spacing w:after="100" w:line="278"/>
      </w:pPr>
      <w:r>
        <w:rPr>
          <w:sz w:val="21"/>
          <w:szCs w:val="21"/>
        </w:rPr>
        <w:t xml:space="preserve">Le sigle indicano quanti bit e con quale schema. </w:t>
      </w:r>
      <w:r>
        <w:rPr>
          <w:b/>
          <w:bCs/>
          <w:sz w:val="21"/>
          <w:szCs w:val="21"/>
        </w:rPr>
        <w:t xml:space="preserve">Q4_K_M</w:t>
      </w:r>
      <w:r>
        <w:rPr>
          <w:sz w:val="21"/>
          <w:szCs w:val="21"/>
        </w:rPr>
        <w:t xml:space="preserve"> è il punto di equilibrio adottato di default da Ollama: buon bilanciamento tra qualità, velocità e memoria. Scendere (Q3, Q2) degrada la qualità in modo evidente e imprevedibile; salire (Q6, Q8) migliora poco a fronte di molta più memoria. </w:t>
      </w:r>
      <w:r>
        <w:rPr>
          <w:b/>
          <w:bCs/>
          <w:color w:val="FFFFFF"/>
          <w:sz w:val="15"/>
          <w:szCs w:val="15"/>
          <w:shd w:fill="2E6E9E" w:color="auto" w:val="clear"/>
        </w:rPr>
        <w:t xml:space="preserve"> [Inferenza] </w:t>
      </w:r>
      <w:r>
        <w:rPr>
          <w:sz w:val="21"/>
          <w:szCs w:val="21"/>
        </w:rPr>
        <w:t xml:space="preserve">  Per il RAG su documenti tecnici, Q4_K_M è generalmente sufficiente; per task dove ogni parola conta, si può valutare Q5.</w:t>
      </w:r>
    </w:p>
    <w:p>
      <w:pPr>
        <w:pBdr>
          <w:left w:val="single" w:color="2E7D32" w:sz="24" w:space="10"/>
        </w:pBdr>
        <w:shd w:fill="EAF1F7" w:color="auto" w:val="clear"/>
        <w:spacing w:after="120" w:before="80"/>
      </w:pPr>
      <w:r>
        <w:rPr>
          <w:b/>
          <w:bCs/>
          <w:color w:val="2E7D32"/>
          <w:sz w:val="20"/>
          <w:szCs w:val="20"/>
        </w:rPr>
        <w:t xml:space="preserve">COLLEGAMENTO ALLA GUIDA.  </w:t>
      </w:r>
      <w:r>
        <w:rPr>
          <w:sz w:val="20"/>
          <w:szCs w:val="20"/>
        </w:rPr>
        <w:t xml:space="preserve">Quando la guida dice «Ollama seleziona Q4 in automatico», ora sai perché: è il default che massimizza il rapporto qualità/memoria. E capisci perché un modello da 8B occupa ~5GB e non 16GB.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6"/>
          <w:szCs w:val="26"/>
        </w:rPr>
        <w:t xml:space="preserve">2.3 VRAM, RAM e il collo di bottiglia PCIe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la VRAM è il vincolo, non la RAM</w:t>
      </w:r>
    </w:p>
    <w:p>
      <w:pPr>
        <w:spacing w:after="100" w:line="278"/>
      </w:pPr>
      <w:r>
        <w:rPr>
          <w:sz w:val="21"/>
          <w:szCs w:val="21"/>
        </w:rPr>
        <w:t xml:space="preserve">La GPU calcola l'inferenza molto più velocemente della CPU, ma solo se i pesi del modello stanno nella sua memoria dedicata (la  </w:t>
      </w:r>
      <w:r>
        <w:rPr>
          <w:b/>
          <w:bCs/>
          <w:sz w:val="21"/>
          <w:szCs w:val="21"/>
        </w:rPr>
        <w:t xml:space="preserve"> VRAM</w:t>
      </w:r>
      <w:r>
        <w:rPr>
          <w:sz w:val="21"/>
          <w:szCs w:val="21"/>
        </w:rPr>
        <w:t xml:space="preserve">). Se il modello non ci sta, il runtime «scarica» (offload) parte degli strati sulla RAM di sistema. Ma allora, a ogni token, i dati devono viaggiare avanti e indietro tra RAM e GPU attraverso il bus  </w:t>
      </w:r>
      <w:r>
        <w:rPr>
          <w:b/>
          <w:bCs/>
          <w:sz w:val="21"/>
          <w:szCs w:val="21"/>
        </w:rPr>
        <w:t xml:space="preserve"> PCIe</w:t>
      </w:r>
      <w:r>
        <w:rPr>
          <w:sz w:val="21"/>
          <w:szCs w:val="21"/>
        </w:rPr>
        <w:t xml:space="preserve">, che è ordini di grandezza più lento della VRAM. Ecco perché un modello che sfora la VRAM non è «un po' più lento»: crolla di 5-30 volte. Il collo di bottiglia non è il calcolo, è il  </w:t>
      </w:r>
      <w:r>
        <w:rPr>
          <w:b/>
          <w:bCs/>
          <w:sz w:val="21"/>
          <w:szCs w:val="21"/>
        </w:rPr>
        <w:t xml:space="preserve"> trasferimento</w:t>
      </w:r>
      <w:r>
        <w:rPr>
          <w:sz w:val="21"/>
          <w:szCs w:val="21"/>
        </w:rPr>
        <w:t xml:space="preserve">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Modelli densi vs Mixture-of-Experts (MoE)</w:t>
      </w:r>
    </w:p>
    <w:p>
      <w:pPr>
        <w:spacing w:after="100" w:line="278"/>
      </w:pPr>
      <w:r>
        <w:rPr>
          <w:sz w:val="21"/>
          <w:szCs w:val="21"/>
        </w:rPr>
        <w:t xml:space="preserve">Un modello  </w:t>
      </w:r>
      <w:r>
        <w:rPr>
          <w:b/>
          <w:bCs/>
          <w:sz w:val="21"/>
          <w:szCs w:val="21"/>
        </w:rPr>
        <w:t xml:space="preserve"> denso</w:t>
      </w:r>
      <w:r>
        <w:rPr>
          <w:sz w:val="21"/>
          <w:szCs w:val="21"/>
        </w:rPr>
        <w:t xml:space="preserve"> attiva tutti i suoi parametri per ogni token. Un modello  </w:t>
      </w:r>
      <w:r>
        <w:rPr>
          <w:b/>
          <w:bCs/>
          <w:sz w:val="21"/>
          <w:szCs w:val="21"/>
        </w:rPr>
        <w:t xml:space="preserve"> MoE</w:t>
      </w:r>
      <w:r>
        <w:rPr>
          <w:sz w:val="21"/>
          <w:szCs w:val="21"/>
        </w:rPr>
        <w:t xml:space="preserve"> (come Qwen3 30B-A3B) ha 30 miliardi di parametri totali ma ne attiva solo ~3 miliardi per token, scegliendo dinamicamente quali «esperti» usare. Conseguenza pratica:  </w:t>
      </w:r>
      <w:r>
        <w:rPr>
          <w:b/>
          <w:bCs/>
          <w:sz w:val="21"/>
          <w:szCs w:val="21"/>
        </w:rPr>
        <w:t xml:space="preserve"> velocità di un 3B, qualità vicina a un 30B</w:t>
      </w:r>
      <w:r>
        <w:rPr>
          <w:sz w:val="21"/>
          <w:szCs w:val="21"/>
        </w:rPr>
        <w:t xml:space="preserve"> — ma </w:t>
      </w:r>
      <w:r>
        <w:rPr>
          <w:i/>
          <w:iCs/>
          <w:sz w:val="21"/>
          <w:szCs w:val="21"/>
        </w:rPr>
        <w:t xml:space="preserve">tutti</w:t>
      </w:r>
      <w:r>
        <w:rPr>
          <w:sz w:val="21"/>
          <w:szCs w:val="21"/>
        </w:rPr>
        <w:t xml:space="preserve"> i 30B devono comunque essere caricati in memoria (~18GB a Q4). Per questo il 30B-A3B è veloce </w:t>
      </w:r>
      <w:r>
        <w:rPr>
          <w:i/>
          <w:iCs/>
          <w:sz w:val="21"/>
          <w:szCs w:val="21"/>
        </w:rPr>
        <w:t xml:space="preserve">una volta caricato</w:t>
      </w:r>
      <w:r>
        <w:rPr>
          <w:sz w:val="21"/>
          <w:szCs w:val="21"/>
        </w:rPr>
        <w:t xml:space="preserve">, ma resta fuori portata per la tua VRAM da 8GB.</w:t>
      </w:r>
    </w:p>
    <w:p>
      <w:pPr>
        <w:pBdr>
          <w:left w:val="single" w:color="2E7D32" w:sz="24" w:space="10"/>
        </w:pBdr>
        <w:shd w:fill="EAF1F7" w:color="auto" w:val="clear"/>
        <w:spacing w:after="120" w:before="80"/>
      </w:pPr>
      <w:r>
        <w:rPr>
          <w:b/>
          <w:bCs/>
          <w:color w:val="2E7D32"/>
          <w:sz w:val="20"/>
          <w:szCs w:val="20"/>
        </w:rPr>
        <w:t xml:space="preserve">COLLEGAMENTO ALLA GUIDA.  </w:t>
      </w:r>
      <w:r>
        <w:rPr>
          <w:sz w:val="20"/>
          <w:szCs w:val="20"/>
        </w:rPr>
        <w:t xml:space="preserve">Questa teoria spiega la «strategia a due velocità»: Qwen3 8B sta in VRAM (veloce), il 30B-A3B no (lento su PCIe). Non è una limitazione arbitraria — è fisica del trasferimento dati.</w:t>
      </w:r>
    </w:p>
    <w:p>
      <w:r>
        <w:br w:type="page"/>
      </w:r>
    </w:p>
    <w:p>
      <w:pPr>
        <w:shd w:fill="1565C0" w:color="auto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CAPITOLO 3 · L2 — KNOWLEDGE (la teoria dietro book-to-skill)</w:t>
      </w:r>
    </w:p>
    <w:p>
      <w:pPr>
        <w:spacing w:after="100" w:line="278"/>
      </w:pPr>
      <w:r>
        <w:rPr>
          <w:sz w:val="21"/>
          <w:szCs w:val="21"/>
        </w:rPr>
        <w:t xml:space="preserve">La guida ti fa installare book-to-skill e generare skill. Qui capisci il meccanismo che sta sotto — gli embeddings — perché è lo stesso che alimenta il RAG del livello successivo.</w:t>
      </w:r>
    </w:p>
    <w:p>
      <w:pPr>
        <w:pStyle w:val="Heading2"/>
        <w:spacing w:after="100" w:before="220"/>
      </w:pPr>
      <w:r>
        <w:rPr>
          <w:b/>
          <w:bCs/>
          <w:color w:val="1565C0"/>
          <w:sz w:val="26"/>
          <w:szCs w:val="26"/>
        </w:rPr>
        <w:t xml:space="preserve">3.1 Embeddings: come un testo diventa «cercabile per significato»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Il concetto di spazio vettoriale semantico</w:t>
      </w:r>
    </w:p>
    <w:p>
      <w:pPr>
        <w:spacing w:after="100" w:line="278"/>
      </w:pPr>
      <w:r>
        <w:rPr>
          <w:sz w:val="21"/>
          <w:szCs w:val="21"/>
        </w:rPr>
        <w:t xml:space="preserve">Un  </w:t>
      </w:r>
      <w:r>
        <w:rPr>
          <w:b/>
          <w:bCs/>
          <w:sz w:val="21"/>
          <w:szCs w:val="21"/>
        </w:rPr>
        <w:t xml:space="preserve"> embedding</w:t>
      </w:r>
      <w:r>
        <w:rPr>
          <w:sz w:val="21"/>
          <w:szCs w:val="21"/>
        </w:rPr>
        <w:t xml:space="preserve"> è la trasformazione di un pezzo di testo in un vettore di numeri — tipicamente centinaia o migliaia di dimensioni. L'idea fondamentale: testi con  </w:t>
      </w:r>
      <w:r>
        <w:rPr>
          <w:b/>
          <w:bCs/>
          <w:sz w:val="21"/>
          <w:szCs w:val="21"/>
        </w:rPr>
        <w:t xml:space="preserve"> significato simile vengono mappati in vettori vicini</w:t>
      </w:r>
      <w:r>
        <w:rPr>
          <w:sz w:val="21"/>
          <w:szCs w:val="21"/>
        </w:rPr>
        <w:t xml:space="preserve"> nello spazio. «Il gatto dorme» e «il felino riposa» finiscono vicini pur non condividendo parole; «il gatto dorme» e «la borsa cala» finiscono lontani. Il modello di embedding ha imparato a codificare il </w:t>
      </w:r>
      <w:r>
        <w:rPr>
          <w:i/>
          <w:iCs/>
          <w:sz w:val="21"/>
          <w:szCs w:val="21"/>
        </w:rPr>
        <w:t xml:space="preserve">significato</w:t>
      </w:r>
      <w:r>
        <w:rPr>
          <w:sz w:val="21"/>
          <w:szCs w:val="21"/>
        </w:rPr>
        <w:t xml:space="preserve">, non le parole letterali. È questo che permette una ricerca «per concetto» invece che «per parola chiave».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serve un modello separato (l'embedder)</w:t>
      </w:r>
    </w:p>
    <w:p>
      <w:pPr>
        <w:spacing w:after="100" w:line="278"/>
      </w:pPr>
      <w:r>
        <w:rPr>
          <w:sz w:val="21"/>
          <w:szCs w:val="21"/>
        </w:rPr>
        <w:t xml:space="preserve">Il modello generativo (Qwen3) e il modello di embedding (</w:t>
      </w:r>
      <w:r>
        <w:rPr>
          <w:b/>
          <w:bCs/>
          <w:sz w:val="21"/>
          <w:szCs w:val="21"/>
        </w:rPr>
        <w:t xml:space="preserve">nomic-embed-text</w:t>
      </w:r>
      <w:r>
        <w:rPr>
          <w:sz w:val="21"/>
          <w:szCs w:val="21"/>
        </w:rPr>
        <w:t xml:space="preserve">) fanno lavori diversi. Il primo </w:t>
      </w:r>
      <w:r>
        <w:rPr>
          <w:i/>
          <w:iCs/>
          <w:sz w:val="21"/>
          <w:szCs w:val="21"/>
        </w:rPr>
        <w:t xml:space="preserve">genera</w:t>
      </w:r>
      <w:r>
        <w:rPr>
          <w:sz w:val="21"/>
          <w:szCs w:val="21"/>
        </w:rPr>
        <w:t xml:space="preserve"> testo; il secondo </w:t>
      </w:r>
      <w:r>
        <w:rPr>
          <w:i/>
          <w:iCs/>
          <w:sz w:val="21"/>
          <w:szCs w:val="21"/>
        </w:rPr>
        <w:t xml:space="preserve">misura significato</w:t>
      </w:r>
      <w:r>
        <w:rPr>
          <w:sz w:val="21"/>
          <w:szCs w:val="21"/>
        </w:rPr>
        <w:t xml:space="preserve">. Sono due strumenti distinti che lavorano insieme: per questo la guida ti fa scaricare </w:t>
      </w:r>
      <w:r>
        <w:rPr>
          <w:b/>
          <w:bCs/>
          <w:sz w:val="21"/>
          <w:szCs w:val="21"/>
        </w:rPr>
        <w:t xml:space="preserve">entrambi</w:t>
      </w:r>
      <w:r>
        <w:rPr>
          <w:sz w:val="21"/>
          <w:szCs w:val="21"/>
        </w:rPr>
        <w:t xml:space="preserve">. Un errore comune è configurare solo il modello chat e dimenticare l'embedder — il RAG allora non funziona, perché non ha come «vettorizzare» i documenti.</w:t>
      </w:r>
    </w:p>
    <w:p>
      <w:pPr>
        <w:pStyle w:val="Heading2"/>
        <w:spacing w:after="100" w:before="220"/>
      </w:pPr>
      <w:r>
        <w:rPr>
          <w:b/>
          <w:bCs/>
          <w:color w:val="1565C0"/>
          <w:sz w:val="26"/>
          <w:szCs w:val="26"/>
        </w:rPr>
        <w:t xml:space="preserve">3.2 Chunking: perché spezzare i documenti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Il problema della granularità</w:t>
      </w:r>
    </w:p>
    <w:p>
      <w:pPr>
        <w:spacing w:after="100" w:line="278"/>
      </w:pPr>
      <w:r>
        <w:rPr>
          <w:sz w:val="21"/>
          <w:szCs w:val="21"/>
        </w:rPr>
        <w:t xml:space="preserve">Non si può cercare un PDF di 80 pagine come un blocco unico: sarebbe inutile, perché la risposta a una domanda specifica sta in un paragrafo, non nell'intero documento. Il  </w:t>
      </w:r>
      <w:r>
        <w:rPr>
          <w:b/>
          <w:bCs/>
          <w:sz w:val="21"/>
          <w:szCs w:val="21"/>
        </w:rPr>
        <w:t xml:space="preserve"> chunking</w:t>
      </w:r>
      <w:r>
        <w:rPr>
          <w:sz w:val="21"/>
          <w:szCs w:val="21"/>
        </w:rPr>
        <w:t xml:space="preserve"> spezza i documenti in pezzi piccoli e semanticamente coerenti (tipicamente 200-400 token), ognuno con il proprio embedding. </w:t>
      </w:r>
      <w:r>
        <w:rPr>
          <w:b/>
          <w:bCs/>
          <w:color w:val="FFFFFF"/>
          <w:sz w:val="15"/>
          <w:szCs w:val="15"/>
          <w:shd w:fill="2E6E9E" w:color="auto" w:val="clear"/>
        </w:rPr>
        <w:t xml:space="preserve"> [Inferenza] </w:t>
      </w:r>
      <w:r>
        <w:rPr>
          <w:sz w:val="21"/>
          <w:szCs w:val="21"/>
        </w:rPr>
        <w:t xml:space="preserve">  Un </w:t>
      </w:r>
      <w:r>
        <w:rPr>
          <w:i/>
          <w:iCs/>
          <w:sz w:val="21"/>
          <w:szCs w:val="21"/>
        </w:rPr>
        <w:t xml:space="preserve">overlap</w:t>
      </w:r>
      <w:r>
        <w:rPr>
          <w:sz w:val="21"/>
          <w:szCs w:val="21"/>
        </w:rPr>
        <w:t xml:space="preserve"> tra chunk (30-50 token) evita che un'informazione a cavallo tra due pezzi vada persa. La qualità del chunking è uno dei fattori che più impatta l'accuratezza del RAG.</w:t>
      </w:r>
    </w:p>
    <w:p>
      <w:pPr>
        <w:pStyle w:val="Heading2"/>
        <w:spacing w:after="100" w:before="220"/>
      </w:pPr>
      <w:r>
        <w:rPr>
          <w:b/>
          <w:bCs/>
          <w:color w:val="1565C0"/>
          <w:sz w:val="26"/>
          <w:szCs w:val="26"/>
        </w:rPr>
        <w:t xml:space="preserve">3.3 Il salto di book-to-skill: da chunk a skill strutturata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una skill è diversa da un semplice chunk RAG</w:t>
      </w:r>
    </w:p>
    <w:p>
      <w:pPr>
        <w:spacing w:after="100" w:line="278"/>
      </w:pPr>
      <w:r>
        <w:rPr>
          <w:sz w:val="21"/>
          <w:szCs w:val="21"/>
        </w:rPr>
        <w:t xml:space="preserve">Il RAG classico recupera </w:t>
      </w:r>
      <w:r>
        <w:rPr>
          <w:i/>
          <w:iCs/>
          <w:sz w:val="21"/>
          <w:szCs w:val="21"/>
        </w:rPr>
        <w:t xml:space="preserve">frammenti</w:t>
      </w:r>
      <w:r>
        <w:rPr>
          <w:sz w:val="21"/>
          <w:szCs w:val="21"/>
        </w:rPr>
        <w:t xml:space="preserve"> grezzi. book-to-skill fa qualcosa di concettualmente diverso: </w:t>
      </w:r>
      <w:r>
        <w:rPr>
          <w:b/>
          <w:bCs/>
          <w:sz w:val="21"/>
          <w:szCs w:val="21"/>
        </w:rPr>
        <w:t xml:space="preserve">distilla</w:t>
      </w:r>
      <w:r>
        <w:rPr>
          <w:sz w:val="21"/>
          <w:szCs w:val="21"/>
        </w:rPr>
        <w:t xml:space="preserve"> il documento in una struttura — framework, regole decisionali, indice per capitoli, glossario — pensata perché l'agente la carichi </w:t>
      </w:r>
      <w:r>
        <w:rPr>
          <w:i/>
          <w:iCs/>
          <w:sz w:val="21"/>
          <w:szCs w:val="21"/>
        </w:rPr>
        <w:t xml:space="preserve">on-demand</w:t>
      </w:r>
      <w:r>
        <w:rPr>
          <w:sz w:val="21"/>
          <w:szCs w:val="21"/>
        </w:rPr>
        <w:t xml:space="preserve">. Invece di ripescare pezzi a ogni domanda (il «costo di navigazione» ripetuto), la struttura viene costruita </w:t>
      </w:r>
      <w:r>
        <w:rPr>
          <w:b/>
          <w:bCs/>
          <w:sz w:val="21"/>
          <w:szCs w:val="21"/>
        </w:rPr>
        <w:t xml:space="preserve">una volta</w:t>
      </w:r>
      <w:r>
        <w:rPr>
          <w:sz w:val="21"/>
          <w:szCs w:val="21"/>
        </w:rPr>
        <w:t xml:space="preserve">, e poi il costo per interrogazione resta proporzionale alla risposta. È la differenza tra rileggere l'indice ogni volta e avere già la mappa in testa.</w:t>
      </w:r>
    </w:p>
    <w:p>
      <w:pPr>
        <w:pBdr>
          <w:left w:val="single" w:color="1565C0" w:sz="24" w:space="10"/>
        </w:pBdr>
        <w:shd w:fill="EAF1F7" w:color="auto" w:val="clear"/>
        <w:spacing w:after="120" w:before="80"/>
      </w:pPr>
      <w:r>
        <w:rPr>
          <w:b/>
          <w:bCs/>
          <w:color w:val="1565C0"/>
          <w:sz w:val="20"/>
          <w:szCs w:val="20"/>
        </w:rPr>
        <w:t xml:space="preserve">COLLEGAMENTO ALLA GUIDA.  </w:t>
      </w:r>
      <w:r>
        <w:rPr>
          <w:sz w:val="20"/>
          <w:szCs w:val="20"/>
        </w:rPr>
        <w:t xml:space="preserve">Quando la guida promette «24-51× meno token», ora sai da dove viene: il costo di strutturazione è pagato una volta in fase di conversione, non a ogni query.</w:t>
      </w:r>
    </w:p>
    <w:p>
      <w:pPr>
        <w:pBdr>
          <w:left w:val="single" w:color="6A1B9A" w:sz="24" w:space="10"/>
        </w:pBdr>
        <w:shd w:fill="EAF1F7" w:color="auto" w:val="clear"/>
        <w:spacing w:after="120" w:before="80"/>
      </w:pPr>
      <w:r>
        <w:rPr>
          <w:b/>
          <w:bCs/>
          <w:color w:val="6A1B9A"/>
          <w:sz w:val="20"/>
          <w:szCs w:val="20"/>
        </w:rPr>
        <w:t xml:space="preserve">USO PMI.  </w:t>
      </w:r>
      <w:r>
        <w:rPr>
          <w:sz w:val="20"/>
          <w:szCs w:val="20"/>
        </w:rPr>
        <w:t xml:space="preserve">Trasformare un capitolo PMBOK o un dossier EU AI Act in skill significa dare all'agente una conoscenza strutturata e citabile, non un mucchio di chunk. È coerente con un approccio metodologico dove la struttura della conoscenza conta quanto il contenuto.</w:t>
      </w:r>
    </w:p>
    <w:p>
      <w:r>
        <w:br w:type="page"/>
      </w:r>
    </w:p>
    <w:p>
      <w:pPr>
        <w:shd w:fill="C62828" w:color="auto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CAPITOLO 4 · L3 — APPLICAZIONE (la teoria dietro AnythingLLM e OpenWorker)</w:t>
      </w:r>
    </w:p>
    <w:p>
      <w:pPr>
        <w:pStyle w:val="Heading2"/>
        <w:spacing w:after="100" w:before="220"/>
      </w:pPr>
      <w:r>
        <w:rPr>
          <w:b/>
          <w:bCs/>
          <w:color w:val="C62828"/>
          <w:sz w:val="26"/>
          <w:szCs w:val="26"/>
        </w:rPr>
        <w:t xml:space="preserve">4.1 La pipeline RAG, passo per passo</w:t>
      </w:r>
    </w:p>
    <w:p>
      <w:pPr>
        <w:spacing w:after="100" w:line="278"/>
      </w:pPr>
      <w:r>
        <w:rPr>
          <w:sz w:val="21"/>
          <w:szCs w:val="21"/>
        </w:rPr>
        <w:t xml:space="preserve">La guida ti fa configurare AnythingLLM in pochi click. Ma «sotto» avviene una sequenza precisa che vale la pena conoscere per diagnosticare quando qualcosa non va.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Fase offline — costruzione dell'indice</w:t>
      </w:r>
    </w:p>
    <w:p>
      <w:pPr>
        <w:spacing w:after="100" w:line="278"/>
      </w:pPr>
      <w:r>
        <w:rPr>
          <w:sz w:val="21"/>
          <w:szCs w:val="21"/>
        </w:rPr>
        <w:t xml:space="preserve">Prima di qualsiasi domanda, il sistema legge i documenti, li spezza in chunk, calcola l'embedding di ognuno e li salva in un  </w:t>
      </w:r>
      <w:r>
        <w:rPr>
          <w:b/>
          <w:bCs/>
          <w:sz w:val="21"/>
          <w:szCs w:val="21"/>
        </w:rPr>
        <w:t xml:space="preserve"> vector database</w:t>
      </w:r>
      <w:r>
        <w:rPr>
          <w:sz w:val="21"/>
          <w:szCs w:val="21"/>
        </w:rPr>
        <w:t xml:space="preserve"> (LanceDB, in locale). Questo avviene </w:t>
      </w:r>
      <w:r>
        <w:rPr>
          <w:i/>
          <w:iCs/>
          <w:sz w:val="21"/>
          <w:szCs w:val="21"/>
        </w:rPr>
        <w:t xml:space="preserve">una volta</w:t>
      </w:r>
      <w:r>
        <w:rPr>
          <w:sz w:val="21"/>
          <w:szCs w:val="21"/>
        </w:rPr>
        <w:t xml:space="preserve"> all'ingestione: per questo pagare l'embedding di un documento grande una volta sola è un vantaggio di efficienza.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Fase online — recupero e generazione</w:t>
      </w:r>
    </w:p>
    <w:p>
      <w:pPr>
        <w:spacing w:after="100" w:line="278"/>
      </w:pPr>
      <w:r>
        <w:rPr>
          <w:sz w:val="21"/>
          <w:szCs w:val="21"/>
        </w:rPr>
        <w:t xml:space="preserve">Quando poni una domanda: (1) la tua domanda viene trasformata in embedding con lo </w:t>
      </w:r>
      <w:r>
        <w:rPr>
          <w:i/>
          <w:iCs/>
          <w:sz w:val="21"/>
          <w:szCs w:val="21"/>
        </w:rPr>
        <w:t xml:space="preserve">stesso</w:t>
      </w:r>
      <w:r>
        <w:rPr>
          <w:sz w:val="21"/>
          <w:szCs w:val="21"/>
        </w:rPr>
        <w:t xml:space="preserve"> modello usato per i documenti; (2) il vector DB calcola la </w:t>
      </w:r>
      <w:r>
        <w:rPr>
          <w:b/>
          <w:bCs/>
          <w:sz w:val="21"/>
          <w:szCs w:val="21"/>
        </w:rPr>
        <w:t xml:space="preserve">similarità</w:t>
      </w:r>
      <w:r>
        <w:rPr>
          <w:sz w:val="21"/>
          <w:szCs w:val="21"/>
        </w:rPr>
        <w:t xml:space="preserve"> (tipicamente coseno) tra il vettore-domanda e i vettori-chunk, selezionando i </w:t>
      </w:r>
      <w:r>
        <w:rPr>
          <w:b/>
          <w:bCs/>
          <w:sz w:val="21"/>
          <w:szCs w:val="21"/>
        </w:rPr>
        <w:t xml:space="preserve">top-k</w:t>
      </w:r>
      <w:r>
        <w:rPr>
          <w:sz w:val="21"/>
          <w:szCs w:val="21"/>
        </w:rPr>
        <w:t xml:space="preserve"> più vicini; (3) i chunk recuperati vengono inseriti nel prompt come contesto; (4) il modello generativo (Qwen3) produce la risposta </w:t>
      </w:r>
      <w:r>
        <w:rPr>
          <w:b/>
          <w:bCs/>
          <w:sz w:val="21"/>
          <w:szCs w:val="21"/>
        </w:rPr>
        <w:t xml:space="preserve">basandosi su quei chunk</w:t>
      </w:r>
      <w:r>
        <w:rPr>
          <w:sz w:val="21"/>
          <w:szCs w:val="21"/>
        </w:rPr>
        <w:t xml:space="preserve">, con le citazioni. Il modello non «sa» la risposta: la </w:t>
      </w:r>
      <w:r>
        <w:rPr>
          <w:i/>
          <w:iCs/>
          <w:sz w:val="21"/>
          <w:szCs w:val="21"/>
        </w:rPr>
        <w:t xml:space="preserve">sintetizza</w:t>
      </w:r>
      <w:r>
        <w:rPr>
          <w:sz w:val="21"/>
          <w:szCs w:val="21"/>
        </w:rPr>
        <w:t xml:space="preserve"> dai frammenti forniti.</w:t>
      </w:r>
    </w:p>
    <w:p>
      <w:pPr>
        <w:pStyle w:val="Heading3"/>
        <w:spacing w:after="70" w:before="160"/>
      </w:pPr>
      <w:r>
        <w:rPr>
          <w:b/>
          <w:bCs/>
          <w:color w:val="C62828"/>
          <w:sz w:val="22"/>
          <w:szCs w:val="22"/>
        </w:rPr>
        <w:t xml:space="preserve">La pipeline in forma schematica</w:t>
      </w:r>
    </w:p>
    <w:p>
      <w:pPr>
        <w:pBdr>
          <w:top w:val="single" w:color="D8DEE6" w:sz="2" w:space="4"/>
          <w:bottom w:val="single" w:color="D8DEE6" w:sz="2" w:space="4"/>
          <w:left w:val="single" w:color="2E6E9E" w:sz="18" w:space="8"/>
          <w:right w:val="single" w:color="D8DEE6" w:sz="2" w:space="4"/>
        </w:pBdr>
        <w:shd w:fill="F4F6F8" w:color="auto" w:val="clear"/>
        <w:spacing w:after="120" w:before="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Domanda → [embed domanda] → ricerca similarità nel vector DB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                           ↓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                 top-k chunk più vicini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                           ↓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       prompt = domanda + chunk recuperati → Qwen3 → risposta citata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il RAG riduce (ma non elimina) le allucinazioni</w:t>
      </w:r>
    </w:p>
    <w:p>
      <w:pPr>
        <w:spacing w:after="100" w:line="278"/>
      </w:pPr>
      <w:r>
        <w:rPr>
          <w:sz w:val="21"/>
          <w:szCs w:val="21"/>
        </w:rPr>
        <w:t xml:space="preserve">Fornendo al modello fatti reali su cui basarsi, il RAG riduce drasticamente le invenzioni. Ma non è magia: se il recupero porta chunk sbagliati, o se il modello è troppo piccolo per «leggere» bene i chunk, le allucinazioni tornano. Ecco perché la guida vieta modelli sotto i 7B per il RAG: un modello troppo piccolo ignora il contesto recuperato e «inventa» comunque.</w:t>
      </w:r>
    </w:p>
    <w:p>
      <w:pPr>
        <w:pStyle w:val="Heading2"/>
        <w:spacing w:after="100" w:before="220"/>
      </w:pPr>
      <w:r>
        <w:rPr>
          <w:b/>
          <w:bCs/>
          <w:color w:val="C62828"/>
          <w:sz w:val="26"/>
          <w:szCs w:val="26"/>
        </w:rPr>
        <w:t xml:space="preserve">4.2 Dal RAG all'agente: cosa cambia concettualmente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RAG risponde, l'agente agisce</w:t>
      </w:r>
    </w:p>
    <w:p>
      <w:pPr>
        <w:spacing w:after="100" w:line="278"/>
      </w:pPr>
      <w:r>
        <w:rPr>
          <w:sz w:val="21"/>
          <w:szCs w:val="21"/>
        </w:rPr>
        <w:t xml:space="preserve">Il RAG è </w:t>
      </w:r>
      <w:r>
        <w:rPr>
          <w:b/>
          <w:bCs/>
          <w:sz w:val="21"/>
          <w:szCs w:val="21"/>
        </w:rPr>
        <w:t xml:space="preserve">passivo</w:t>
      </w:r>
      <w:r>
        <w:rPr>
          <w:sz w:val="21"/>
          <w:szCs w:val="21"/>
        </w:rPr>
        <w:t xml:space="preserve">: recupera e risponde. Un </w:t>
      </w:r>
      <w:r>
        <w:rPr>
          <w:b/>
          <w:bCs/>
          <w:sz w:val="21"/>
          <w:szCs w:val="21"/>
        </w:rPr>
        <w:t xml:space="preserve">agente</w:t>
      </w:r>
      <w:r>
        <w:rPr>
          <w:sz w:val="21"/>
          <w:szCs w:val="21"/>
        </w:rPr>
        <w:t xml:space="preserve"> è </w:t>
      </w:r>
      <w:r>
        <w:rPr>
          <w:b/>
          <w:bCs/>
          <w:sz w:val="21"/>
          <w:szCs w:val="21"/>
        </w:rPr>
        <w:t xml:space="preserve">attivo</w:t>
      </w:r>
      <w:r>
        <w:rPr>
          <w:sz w:val="21"/>
          <w:szCs w:val="21"/>
        </w:rPr>
        <w:t xml:space="preserve">: pianifica, chiama strumenti (tool), osserva i risultati, itera. La differenza tecnica cruciale è il  </w:t>
      </w:r>
      <w:r>
        <w:rPr>
          <w:b/>
          <w:bCs/>
          <w:sz w:val="21"/>
          <w:szCs w:val="21"/>
        </w:rPr>
        <w:t xml:space="preserve"> tool calling</w:t>
      </w:r>
      <w:r>
        <w:rPr>
          <w:sz w:val="21"/>
          <w:szCs w:val="21"/>
        </w:rPr>
        <w:t xml:space="preserve"> (function calling): la capacità del modello di produrre non solo testo, ma richieste strutturate di eseguire azioni (leggere un file, lanciare un comando, chiamare un'API).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senza tool calling non c'è agente</w:t>
      </w:r>
    </w:p>
    <w:p>
      <w:pPr>
        <w:spacing w:after="100" w:line="278"/>
      </w:pPr>
      <w:r>
        <w:rPr>
          <w:sz w:val="21"/>
          <w:szCs w:val="21"/>
        </w:rPr>
        <w:t xml:space="preserve">Se il modello non supporta il tool calling nativo, un «agente» degenera in una chat che </w:t>
      </w:r>
      <w:r>
        <w:rPr>
          <w:i/>
          <w:iCs/>
          <w:sz w:val="21"/>
          <w:szCs w:val="21"/>
        </w:rPr>
        <w:t xml:space="preserve">descrive</w:t>
      </w:r>
      <w:r>
        <w:rPr>
          <w:sz w:val="21"/>
          <w:szCs w:val="21"/>
        </w:rPr>
        <w:t xml:space="preserve"> cosa farebbe senza farlo. È il fallimento più comune e più insidioso, perché il sistema sembra funzionare. La guida lo segnala: verifica sempre che il modello esegua </w:t>
      </w:r>
      <w:r>
        <w:rPr>
          <w:i/>
          <w:iCs/>
          <w:sz w:val="21"/>
          <w:szCs w:val="21"/>
        </w:rPr>
        <w:t xml:space="preserve">davvero</w:t>
      </w:r>
      <w:r>
        <w:rPr>
          <w:sz w:val="21"/>
          <w:szCs w:val="21"/>
        </w:rPr>
        <w:t xml:space="preserve"> i tool. Modelli come Qwen3-Coder 8B lo fanno; i modelli molto piccoli producono chiamate malformate.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Il loop agentico e perché i permessi contano</w:t>
      </w:r>
    </w:p>
    <w:p>
      <w:pPr>
        <w:spacing w:after="100" w:line="278"/>
      </w:pPr>
      <w:r>
        <w:rPr>
          <w:sz w:val="21"/>
          <w:szCs w:val="21"/>
        </w:rPr>
        <w:t xml:space="preserve">Un agente opera in un </w:t>
      </w:r>
      <w:r>
        <w:rPr>
          <w:b/>
          <w:bCs/>
          <w:sz w:val="21"/>
          <w:szCs w:val="21"/>
        </w:rPr>
        <w:t xml:space="preserve">loop</w:t>
      </w:r>
      <w:r>
        <w:rPr>
          <w:sz w:val="21"/>
          <w:szCs w:val="21"/>
        </w:rPr>
        <w:t xml:space="preserve">: pensa → chiama un tool → osserva → ripensa, fino al completamento del task. Poiché tra i tool ci sono accesso a shell e file, l'agente è </w:t>
      </w:r>
      <w:r>
        <w:rPr>
          <w:b/>
          <w:bCs/>
          <w:sz w:val="21"/>
          <w:szCs w:val="21"/>
        </w:rPr>
        <w:t xml:space="preserve">per costruzione una superficie di attacco</w:t>
      </w:r>
      <w:r>
        <w:rPr>
          <w:sz w:val="21"/>
          <w:szCs w:val="21"/>
        </w:rPr>
        <w:t xml:space="preserve">. Il motore dei permessi classifica ogni azione per rischio (lettura, scrittura, esecuzione) e la modalità </w:t>
      </w:r>
      <w:r>
        <w:rPr>
          <w:b/>
          <w:bCs/>
          <w:sz w:val="21"/>
          <w:szCs w:val="21"/>
        </w:rPr>
        <w:t xml:space="preserve">interactive</w:t>
      </w:r>
      <w:r>
        <w:rPr>
          <w:sz w:val="21"/>
          <w:szCs w:val="21"/>
        </w:rPr>
        <w:t xml:space="preserve"> chiede conferma prima di ogni azione irreversibile. Non è burocrazia: è la difesa contro un loop degenere o una </w:t>
      </w:r>
      <w:r>
        <w:rPr>
          <w:i/>
          <w:iCs/>
          <w:sz w:val="21"/>
          <w:szCs w:val="21"/>
        </w:rPr>
        <w:t xml:space="preserve">prompt injection</w:t>
      </w:r>
      <w:r>
        <w:rPr>
          <w:sz w:val="21"/>
          <w:szCs w:val="21"/>
        </w:rPr>
        <w:t xml:space="preserve"> (istruzioni ostili nascoste in un documento che l'agente legge).</w:t>
      </w:r>
    </w:p>
    <w:p>
      <w:pPr>
        <w:pBdr>
          <w:left w:val="single" w:color="C62828" w:sz="24" w:space="10"/>
        </w:pBdr>
        <w:shd w:fill="EAF1F7" w:color="auto" w:val="clear"/>
        <w:spacing w:after="120" w:before="80"/>
      </w:pPr>
      <w:r>
        <w:rPr>
          <w:b/>
          <w:bCs/>
          <w:color w:val="C62828"/>
          <w:sz w:val="20"/>
          <w:szCs w:val="20"/>
        </w:rPr>
        <w:t xml:space="preserve">COLLEGAMENTO ALLA GUIDA.  </w:t>
      </w:r>
      <w:r>
        <w:rPr>
          <w:sz w:val="20"/>
          <w:szCs w:val="20"/>
        </w:rPr>
        <w:t xml:space="preserve">Il «mode = interactive» non negoziabile della guida discende da qui: l'agente ha potere reale sulla tua macchina, e la conferma umana è il punto di controllo.</w:t>
      </w:r>
    </w:p>
    <w:p>
      <w:r>
        <w:br w:type="page"/>
      </w:r>
    </w:p>
    <w:p>
      <w:pPr>
        <w:shd w:fill="6A1B9A" w:color="auto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CAPITOLO 5 · L4 — CONTEXT ENGINEERING (la teoria del metodo)</w:t>
      </w:r>
    </w:p>
    <w:p>
      <w:pPr>
        <w:spacing w:after="100" w:line="278"/>
      </w:pPr>
      <w:r>
        <w:rPr>
          <w:sz w:val="21"/>
          <w:szCs w:val="21"/>
        </w:rPr>
        <w:t xml:space="preserve">La guida usa il RAG vettoriale come metodo di default. Qui capisci che è </w:t>
      </w:r>
      <w:r>
        <w:rPr>
          <w:i/>
          <w:iCs/>
          <w:sz w:val="21"/>
          <w:szCs w:val="21"/>
        </w:rPr>
        <w:t xml:space="preserve">uno</w:t>
      </w:r>
      <w:r>
        <w:rPr>
          <w:sz w:val="21"/>
          <w:szCs w:val="21"/>
        </w:rPr>
        <w:t xml:space="preserve"> tra diversi paradigmi di gestione del contesto, e quando conviene passare agli altri.</w:t>
      </w:r>
    </w:p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Cos'è il context engineering</w:t>
      </w:r>
    </w:p>
    <w:p>
      <w:pPr>
        <w:spacing w:after="100" w:line="278"/>
      </w:pPr>
      <w:r>
        <w:rPr>
          <w:sz w:val="21"/>
          <w:szCs w:val="21"/>
        </w:rPr>
        <w:t xml:space="preserve">È la disciplina che progetta </w:t>
      </w:r>
      <w:r>
        <w:rPr>
          <w:b/>
          <w:bCs/>
          <w:sz w:val="21"/>
          <w:szCs w:val="21"/>
        </w:rPr>
        <w:t xml:space="preserve">quali informazioni</w:t>
      </w:r>
      <w:r>
        <w:rPr>
          <w:sz w:val="21"/>
          <w:szCs w:val="21"/>
        </w:rPr>
        <w:t xml:space="preserve"> fornire al modello, </w:t>
      </w:r>
      <w:r>
        <w:rPr>
          <w:b/>
          <w:bCs/>
          <w:sz w:val="21"/>
          <w:szCs w:val="21"/>
        </w:rPr>
        <w:t xml:space="preserve">in che forma</w:t>
      </w:r>
      <w:r>
        <w:rPr>
          <w:sz w:val="21"/>
          <w:szCs w:val="21"/>
        </w:rPr>
        <w:t xml:space="preserve"> e </w:t>
      </w:r>
      <w:r>
        <w:rPr>
          <w:b/>
          <w:bCs/>
          <w:sz w:val="21"/>
          <w:szCs w:val="21"/>
        </w:rPr>
        <w:t xml:space="preserve">con quale ciclo di aggiornamento</w:t>
      </w:r>
      <w:r>
        <w:rPr>
          <w:sz w:val="21"/>
          <w:szCs w:val="21"/>
        </w:rPr>
        <w:t xml:space="preserve">. Ha soppiantato il semplice «prompt engineering» perché il collo di bottiglia dei sistemi LLM non è più </w:t>
      </w:r>
      <w:r>
        <w:rPr>
          <w:i/>
          <w:iCs/>
          <w:sz w:val="21"/>
          <w:szCs w:val="21"/>
        </w:rPr>
        <w:t xml:space="preserve">come chiedere</w:t>
      </w:r>
      <w:r>
        <w:rPr>
          <w:sz w:val="21"/>
          <w:szCs w:val="21"/>
        </w:rPr>
        <w:t xml:space="preserve">, ma </w:t>
      </w:r>
      <w:r>
        <w:rPr>
          <w:i/>
          <w:iCs/>
          <w:sz w:val="21"/>
          <w:szCs w:val="21"/>
        </w:rPr>
        <w:t xml:space="preserve">cosa mettere nel contesto</w:t>
      </w:r>
      <w:r>
        <w:rPr>
          <w:sz w:val="21"/>
          <w:szCs w:val="21"/>
        </w:rPr>
        <w:t xml:space="preserve">. Il RAG è il primo strumento di questa disciplina, non l'unico.</w:t>
      </w:r>
    </w:p>
    <w:p>
      <w:pPr>
        <w:pStyle w:val="Heading3"/>
        <w:spacing w:after="70" w:before="160"/>
      </w:pPr>
      <w:r>
        <w:rPr>
          <w:b/>
          <w:bCs/>
          <w:color w:val="6A1B9A"/>
          <w:sz w:val="22"/>
          <w:szCs w:val="22"/>
        </w:rPr>
        <w:t xml:space="preserve">I cinque paradigmi a confronto</w:t>
      </w:r>
    </w:p>
    <w:tbl>
      <w:tblPr>
        <w:tblW w:type="dxa" w:w="9300"/>
        <w:tblBorders>
          <w:top w:val="single" w:color="BFC9D4" w:sz="2"/>
          <w:left w:val="single" w:color="BFC9D4" w:sz="2"/>
          <w:bottom w:val="single" w:color="BFC9D4" w:sz="2"/>
          <w:right w:val="single" w:color="BFC9D4" w:sz="2"/>
          <w:insideH w:val="single" w:color="D8DEE6" w:sz="2"/>
          <w:insideV w:val="single" w:color="D8DEE6" w:sz="2"/>
        </w:tblBorders>
      </w:tblPr>
      <w:tblGrid>
        <w:gridCol w:w="2200"/>
        <w:gridCol w:w="4200"/>
        <w:gridCol w:w="2900"/>
      </w:tblGrid>
      <w:tr>
        <w:tc>
          <w:tcPr>
            <w:tcW w:type="dxa" w:w="22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42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 centrale</w:t>
            </w:r>
          </w:p>
        </w:tc>
        <w:tc>
          <w:tcPr>
            <w:tcW w:type="dxa" w:w="2900"/>
            <w:shd w:fill="6A1B9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 conviene</w:t>
            </w:r>
          </w:p>
        </w:tc>
      </w:tr>
      <w:tr>
        <w:tc>
          <w:tcPr>
            <w:tcW w:type="dxa" w:w="2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vettoriale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Recupero per similarità semantica su chunk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Q&amp;A su documenti (default)</w:t>
            </w:r>
          </w:p>
        </w:tc>
      </w:tr>
      <w:tr>
        <w:tc>
          <w:tcPr>
            <w:tcW w:type="dxa" w:w="2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GraphRAG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Grafo di entità e relazioni; ragionamento multi-hop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Relazioni complesse tra concetti</w:t>
            </w:r>
          </w:p>
        </w:tc>
      </w:tr>
      <w:tr>
        <w:tc>
          <w:tcPr>
            <w:tcW w:type="dxa" w:w="2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Memory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Persistenza del contesto tra sessioni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Continuità e personalizzazione</w:t>
            </w:r>
          </w:p>
        </w:tc>
      </w:tr>
      <w:tr>
        <w:tc>
          <w:tcPr>
            <w:tcW w:type="dxa" w:w="2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Wiki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di note curata da umano+AI, versionata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base di dominio</w:t>
            </w:r>
          </w:p>
        </w:tc>
      </w:tr>
      <w:tr>
        <w:tc>
          <w:tcPr>
            <w:tcW w:type="dxa" w:w="2200"/>
            <w:shd w:fill="EA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ACE / Agentic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Contesto che si auto-aggiorna come playbook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Frontiera sperimentale</w:t>
            </w:r>
          </w:p>
        </w:tc>
      </w:tr>
    </w:tbl>
    <w:p>
      <w:pPr>
        <w:spacing w:after="40" w:before="120"/>
      </w:pPr>
      <w:r>
        <w:rPr>
          <w:b/>
          <w:bCs/>
          <w:color w:val="1F3A5F"/>
          <w:sz w:val="22"/>
          <w:szCs w:val="22"/>
        </w:rPr>
        <w:t xml:space="preserve">◆ Perché nei sistemi maturi si combinano</w:t>
      </w:r>
    </w:p>
    <w:p>
      <w:pPr>
        <w:spacing w:after="100" w:line="278"/>
      </w:pPr>
      <w:r>
        <w:rPr>
          <w:sz w:val="21"/>
          <w:szCs w:val="21"/>
        </w:rPr>
        <w:t xml:space="preserve">Ogni metodo copre un bisogno diverso: RAG per il recupero ampio, memoria per la continuità, grafo per le relazioni, wiki per la curazione. Usarne uno solo lascia lacune che gli altri colmerebbero. Ma — punto cruciale — tutti </w:t>
      </w:r>
      <w:r>
        <w:rPr>
          <w:b/>
          <w:bCs/>
          <w:sz w:val="21"/>
          <w:szCs w:val="21"/>
        </w:rPr>
        <w:t xml:space="preserve">degradano insieme</w:t>
      </w:r>
      <w:r>
        <w:rPr>
          <w:sz w:val="21"/>
          <w:szCs w:val="21"/>
        </w:rPr>
        <w:t xml:space="preserve"> se i dati sottostanti sono obsoleti o non governati. Per questo la governance dei dati viene </w:t>
      </w:r>
      <w:r>
        <w:rPr>
          <w:b/>
          <w:bCs/>
          <w:sz w:val="21"/>
          <w:szCs w:val="21"/>
        </w:rPr>
        <w:t xml:space="preserve">prima</w:t>
      </w:r>
      <w:r>
        <w:rPr>
          <w:sz w:val="21"/>
          <w:szCs w:val="21"/>
        </w:rPr>
        <w:t xml:space="preserve"> della scelta del paradigma tecnico.</w:t>
      </w:r>
    </w:p>
    <w:p>
      <w:pPr>
        <w:pBdr>
          <w:left w:val="single" w:color="6A1B9A" w:sz="24" w:space="10"/>
        </w:pBdr>
        <w:shd w:fill="EAF1F7" w:color="auto" w:val="clear"/>
        <w:spacing w:after="120" w:before="80"/>
      </w:pPr>
      <w:r>
        <w:rPr>
          <w:b/>
          <w:bCs/>
          <w:color w:val="6A1B9A"/>
          <w:sz w:val="20"/>
          <w:szCs w:val="20"/>
        </w:rPr>
        <w:t xml:space="preserve">PROSPETTIVA PMI.  </w:t>
      </w:r>
      <w:r>
        <w:rPr>
          <w:sz w:val="20"/>
          <w:szCs w:val="20"/>
        </w:rPr>
        <w:t xml:space="preserve">La scelta «un metodo alla volta» è tailoring applicato: parti dal RAG (già in AnythingLLM), aggiungi gli altri solo per necessità dimostrata. Crescere per completezza teorica invece che per bisogno reale è complessità ingiustificata.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3A5F"/>
          <w:sz w:val="30"/>
          <w:szCs w:val="30"/>
        </w:rPr>
        <w:t xml:space="preserve">6 · Percorso di apprendimento e autovalutazione</w:t>
      </w:r>
    </w:p>
    <w:p>
      <w:pPr>
        <w:spacing w:after="100" w:line="278"/>
      </w:pPr>
      <w:r>
        <w:rPr>
          <w:b/>
          <w:bCs/>
          <w:color w:val="FFFFFF"/>
          <w:sz w:val="15"/>
          <w:szCs w:val="15"/>
          <w:shd w:fill="2E6E9E" w:color="auto" w:val="clear"/>
        </w:rPr>
        <w:t xml:space="preserve"> [Inferenza] </w:t>
      </w:r>
      <w:r>
        <w:rPr>
          <w:sz w:val="21"/>
          <w:szCs w:val="21"/>
        </w:rPr>
        <w:t xml:space="preserve">  Sequenza per «imparare capendo»: ogni tappa unisce la fase pratica della guida con il capitolo teorico corrispondente, e chiude con domande di autovalutazione per verificare la comprensione reale.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Tappa 1 — Fondamenta (L1)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Pratica: </w:t>
      </w:r>
      <w:r>
        <w:rPr>
          <w:sz w:val="21"/>
          <w:szCs w:val="21"/>
        </w:rPr>
        <w:t xml:space="preserve">Guida Fase 1 (Ollama + Qwen3 8B + embedder).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Teoria: </w:t>
      </w:r>
      <w:r>
        <w:rPr>
          <w:sz w:val="21"/>
          <w:szCs w:val="21"/>
        </w:rPr>
        <w:t xml:space="preserve">Cap. 1 e 2 (limiti LLM, inferenza, quantizzazione, VRAM).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2E6E9E"/>
          <w:sz w:val="21"/>
          <w:szCs w:val="21"/>
        </w:rPr>
        <w:t xml:space="preserve">Autovalutazione: </w:t>
      </w:r>
      <w:r>
        <w:rPr>
          <w:sz w:val="21"/>
          <w:szCs w:val="21"/>
        </w:rPr>
        <w:t xml:space="preserve">Perché un 8B occupa ~5GB e non 16? Perché il 30B-A3B è veloce ma non gira sulla mia VRAM? Cos'è l'endpoint :11434 e perché è «universale»?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Tappa 2 — Conoscenza (L2)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Pratica: </w:t>
      </w:r>
      <w:r>
        <w:rPr>
          <w:sz w:val="21"/>
          <w:szCs w:val="21"/>
        </w:rPr>
        <w:t xml:space="preserve">Guida Fase 3 (book-to-skill).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Teoria: </w:t>
      </w:r>
      <w:r>
        <w:rPr>
          <w:sz w:val="21"/>
          <w:szCs w:val="21"/>
        </w:rPr>
        <w:t xml:space="preserve">Cap. 3 (embeddings, chunking, skill).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2E6E9E"/>
          <w:sz w:val="21"/>
          <w:szCs w:val="21"/>
        </w:rPr>
        <w:t xml:space="preserve">Autovalutazione: </w:t>
      </w:r>
      <w:r>
        <w:rPr>
          <w:sz w:val="21"/>
          <w:szCs w:val="21"/>
        </w:rPr>
        <w:t xml:space="preserve">Perché servono due modelli (chat + embedder)? Cosa succede se dimentico l'embedder? Perché una skill è diversa da un chunk RAG?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Tappa 3 — Applicazione RAG (L3)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Pratica: </w:t>
      </w:r>
      <w:r>
        <w:rPr>
          <w:sz w:val="21"/>
          <w:szCs w:val="21"/>
        </w:rPr>
        <w:t xml:space="preserve">Guida Fase 2 (AnythingLLM).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Teoria: </w:t>
      </w:r>
      <w:r>
        <w:rPr>
          <w:sz w:val="21"/>
          <w:szCs w:val="21"/>
        </w:rPr>
        <w:t xml:space="preserve">Cap. 4.1 (pipeline RAG).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2E6E9E"/>
          <w:sz w:val="21"/>
          <w:szCs w:val="21"/>
        </w:rPr>
        <w:t xml:space="preserve">Autovalutazione: </w:t>
      </w:r>
      <w:r>
        <w:rPr>
          <w:sz w:val="21"/>
          <w:szCs w:val="21"/>
        </w:rPr>
        <w:t xml:space="preserve">Descrivi i 4 passi della fase online del RAG. Perché il RAG riduce ma non elimina le allucinazioni? Perché vietare modelli sotto i 7B?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Tappa 4 — Agenti (L3)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Pratica: </w:t>
      </w:r>
      <w:r>
        <w:rPr>
          <w:sz w:val="21"/>
          <w:szCs w:val="21"/>
        </w:rPr>
        <w:t xml:space="preserve">Guida Fase 4 (OpenWorker).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Teoria: </w:t>
      </w:r>
      <w:r>
        <w:rPr>
          <w:sz w:val="21"/>
          <w:szCs w:val="21"/>
        </w:rPr>
        <w:t xml:space="preserve">Cap. 4.2 (tool calling, loop, permessi).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2E6E9E"/>
          <w:sz w:val="21"/>
          <w:szCs w:val="21"/>
        </w:rPr>
        <w:t xml:space="preserve">Autovalutazione: </w:t>
      </w:r>
      <w:r>
        <w:rPr>
          <w:sz w:val="21"/>
          <w:szCs w:val="21"/>
        </w:rPr>
        <w:t xml:space="preserve">Cosa distingue un agente da un RAG? Cosa succede senza tool calling? Perché «interactive» è la difesa contro la prompt injection?</w:t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Tappa 5 — Metodo (L4)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1"/>
          <w:szCs w:val="21"/>
        </w:rPr>
        <w:t xml:space="preserve">Teoria: </w:t>
      </w:r>
      <w:r>
        <w:rPr>
          <w:sz w:val="21"/>
          <w:szCs w:val="21"/>
        </w:rPr>
        <w:t xml:space="preserve">Cap. 5 (context engineering, cinque paradigmi).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color w:val="2E6E9E"/>
          <w:sz w:val="21"/>
          <w:szCs w:val="21"/>
        </w:rPr>
        <w:t xml:space="preserve">Autovalutazione: </w:t>
      </w:r>
      <w:r>
        <w:rPr>
          <w:sz w:val="21"/>
          <w:szCs w:val="21"/>
        </w:rPr>
        <w:t xml:space="preserve">Quando passeresti da RAG a GraphRAG? Perché la governance dei dati viene prima del metodo?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Style w:val="Heading3"/>
        <w:spacing w:after="70" w:before="160"/>
      </w:pPr>
      <w:r>
        <w:rPr>
          <w:b/>
          <w:bCs/>
          <w:color w:val="5A6270"/>
          <w:sz w:val="22"/>
          <w:szCs w:val="22"/>
        </w:rPr>
        <w:t xml:space="preserve">Repository ufficiali (riferimento rapido)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Ollama — </w:t>
      </w:r>
      <w:hyperlink w:history="1" r:id="rIdrotyfvwcbl60tjmfhv8g0">
        <w:r>
          <w:rPr>
            <w:rStyle w:val="Hyperlink"/>
            <w:sz w:val="21"/>
            <w:szCs w:val="21"/>
          </w:rPr>
          <w:t xml:space="preserve">github.com/ollama/ollama</w:t>
        </w:r>
      </w:hyperlink>
      <w:r>
        <w:rPr>
          <w:sz w:val="21"/>
          <w:szCs w:val="21"/>
        </w:rPr>
        <w:t xml:space="preserve"> · MIT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AnythingLLM — </w:t>
      </w:r>
      <w:hyperlink w:history="1" r:id="rIdjxrktf3iwcomv98bu9s8b">
        <w:r>
          <w:rPr>
            <w:rStyle w:val="Hyperlink"/>
            <w:sz w:val="21"/>
            <w:szCs w:val="21"/>
          </w:rPr>
          <w:t xml:space="preserve">github.com/Mintplex-Labs/anything-llm</w:t>
        </w:r>
      </w:hyperlink>
      <w:r>
        <w:rPr>
          <w:sz w:val="21"/>
          <w:szCs w:val="21"/>
        </w:rPr>
        <w:t xml:space="preserve"> · MIT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book-to-skill — </w:t>
      </w:r>
      <w:hyperlink w:history="1" r:id="rIdc5voru09ebbnnhootyzlv">
        <w:r>
          <w:rPr>
            <w:rStyle w:val="Hyperlink"/>
            <w:sz w:val="21"/>
            <w:szCs w:val="21"/>
          </w:rPr>
          <w:t xml:space="preserve">github.com/virgiliojr94/book-to-skill</w:t>
        </w:r>
      </w:hyperlink>
      <w:r>
        <w:rPr>
          <w:sz w:val="21"/>
          <w:szCs w:val="21"/>
        </w:rPr>
        <w:t xml:space="preserve"> · MIT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1"/>
          <w:szCs w:val="21"/>
        </w:rPr>
        <w:t xml:space="preserve">OpenWorker — </w:t>
      </w:r>
      <w:hyperlink w:history="1" r:id="rIdm9pobbhpv41mtziljp1fu">
        <w:r>
          <w:rPr>
            <w:rStyle w:val="Hyperlink"/>
            <w:sz w:val="21"/>
            <w:szCs w:val="21"/>
          </w:rPr>
          <w:t xml:space="preserve">github.com/andrewyng/openworker</w:t>
        </w:r>
      </w:hyperlink>
      <w:r>
        <w:rPr>
          <w:sz w:val="21"/>
          <w:szCs w:val="21"/>
        </w:rPr>
        <w:t xml:space="preserve"> · MIT</w:t>
      </w:r>
    </w:p>
    <w:p>
      <w:pPr>
        <w:pBdr>
          <w:bottom w:val="single" w:color="2E6E9E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100" w:line="278"/>
      </w:pPr>
      <w:r>
        <w:rPr>
          <w:sz w:val="21"/>
          <w:szCs w:val="21"/>
        </w:rPr>
        <w:t xml:space="preserve">Approfondimenti teorici esterni (fonti divulgative e accademiche, da verificare alla fonte): principi di RAG, embeddings e similarità del coseno; quantizzazione a 4 bit; architetture MoE. </w:t>
      </w:r>
      <w:r>
        <w:rPr>
          <w:b/>
          <w:bCs/>
          <w:color w:val="FFFFFF"/>
          <w:sz w:val="15"/>
          <w:szCs w:val="15"/>
          <w:shd w:fill="2E6E9E" w:color="auto" w:val="clear"/>
        </w:rPr>
        <w:t xml:space="preserve"> [Inferenza] </w:t>
      </w:r>
      <w:r>
        <w:rPr>
          <w:sz w:val="21"/>
          <w:szCs w:val="21"/>
        </w:rPr>
        <w:t xml:space="preserve">  Le fonti web hanno recency variabile: verificare sempre i dati tecnici (dimensioni, versioni) alla documentazione ufficiale dei singoli progetti.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otyfvwcbl60tjmfhv8g0" Type="http://schemas.openxmlformats.org/officeDocument/2006/relationships/hyperlink" Target="https://github.com/ollama/ollama" TargetMode="External"/><Relationship Id="rIdjxrktf3iwcomv98bu9s8b" Type="http://schemas.openxmlformats.org/officeDocument/2006/relationships/hyperlink" Target="https://github.com/Mintplex-Labs/anything-llm" TargetMode="External"/><Relationship Id="rIdc5voru09ebbnnhootyzlv" Type="http://schemas.openxmlformats.org/officeDocument/2006/relationships/hyperlink" Target="https://github.com/virgiliojr94/book-to-skill" TargetMode="External"/><Relationship Id="rIdm9pobbhpv41mtziljp1fu" Type="http://schemas.openxmlformats.org/officeDocument/2006/relationships/hyperlink" Target="https://github.com/andrewyng/openwork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2026-08-24T14:54:00.722Z</dcterms:created>
  <dcterms:modified xsi:type="dcterms:W3CDTF">2026-08-24T14:54:00.722Z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