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A2332"/>
          <w:spacing w:val="60"/>
          <w:sz w:val="52"/>
          <w:szCs w:val="52"/>
        </w:rPr>
        <w:t xml:space="preserve">APPENDICE</w:t>
      </w:r>
    </w:p>
    <w:p>
      <w:pPr>
        <w:spacing w:after="40"/>
        <w:jc w:val="center"/>
      </w:pPr>
      <w:r>
        <w:rPr>
          <w:i/>
          <w:iCs/>
          <w:color w:val="2E6E9E"/>
          <w:sz w:val="32"/>
          <w:szCs w:val="32"/>
        </w:rPr>
        <w:t xml:space="preserve">Tecniche di Frontiera</w:t>
      </w:r>
    </w:p>
    <w:p>
      <w:pPr>
        <w:pBdr>
          <w:top w:val="single" w:color="1F3A5F" w:sz="8" w:space="8"/>
          <w:bottom w:val="single" w:color="1F3A5F" w:sz="8" w:space="8"/>
        </w:pBdr>
        <w:spacing w:after="0" w:before="160"/>
        <w:jc w:val="center"/>
      </w:pPr>
      <w:r>
        <w:rPr>
          <w:color w:val="4A5260"/>
          <w:sz w:val="19"/>
          <w:szCs w:val="19"/>
        </w:rPr>
        <w:t xml:space="preserve">  Memoria · Grafo · Affidabilità · Adattamento del modello  </w:t>
      </w:r>
    </w:p>
    <w:p>
      <w:pPr>
        <w:spacing w:before="600"/>
        <w:jc w:val="center"/>
      </w:pPr>
      <w:r>
        <w:rPr>
          <w:i/>
          <w:iCs/>
          <w:color w:val="4A5260"/>
          <w:sz w:val="19"/>
          <w:szCs w:val="19"/>
        </w:rPr>
        <w:t xml:space="preserve">Complemento avanzato al manuale «LLM in Locale»</w:t>
      </w:r>
    </w:p>
    <w:p>
      <w:pPr>
        <w:jc w:val="center"/>
      </w:pPr>
      <w:r>
        <w:rPr>
          <w:color w:val="4A5260"/>
          <w:sz w:val="18"/>
          <w:szCs w:val="18"/>
        </w:rPr>
        <w:t xml:space="preserve">Edizione 2026</w:t>
      </w:r>
    </w:p>
    <w:p>
      <w:r>
        <w:br w:type="page"/>
      </w:r>
    </w:p>
    <w:p>
      <w:pPr>
        <w:spacing w:after="120"/>
      </w:pPr>
      <w:r>
        <w:rPr>
          <w:b/>
          <w:bCs/>
          <w:color w:val="1A2332"/>
          <w:sz w:val="30"/>
          <w:szCs w:val="30"/>
        </w:rPr>
        <w:t xml:space="preserve">Premessa</w:t>
      </w:r>
    </w:p>
    <w:p>
      <w:pPr>
        <w:pBdr>
          <w:bottom w:val="single" w:color="1F3A5F" w:sz="6" w:space="6"/>
        </w:pBdr>
        <w:spacing w:after="100"/>
      </w:pPr>
      <w:r>
        <w:rPr>
          <w:sz w:val="6"/>
          <w:szCs w:val="6"/>
        </w:rPr>
        <w:t xml:space="preserve"/>
      </w:r>
    </w:p>
    <w:p>
      <w:pPr>
        <w:spacing w:after="120" w:line="290"/>
        <w:jc w:val="both"/>
      </w:pPr>
      <w:r>
        <w:rPr>
          <w:sz w:val="21"/>
          <w:szCs w:val="21"/>
        </w:rPr>
        <w:t xml:space="preserve">Il manuale principale ha stabilito i fondamenti dello stack locale. Questa appendice ne approfondisce quattro estensioni, dalle più vicine al RAG alle più avanzate: la </w:t>
      </w:r>
      <w:r>
        <w:rPr>
          <w:b/>
          <w:bCs/>
          <w:sz w:val="21"/>
          <w:szCs w:val="21"/>
        </w:rPr>
        <w:t xml:space="preserve">memoria a lungo termine</w:t>
      </w:r>
      <w:r>
        <w:rPr>
          <w:sz w:val="21"/>
          <w:szCs w:val="21"/>
        </w:rPr>
        <w:t xml:space="preserve"> (Appendice A, che affronta l'assenza di stato); il </w:t>
      </w:r>
      <w:r>
        <w:rPr>
          <w:b/>
          <w:bCs/>
          <w:sz w:val="21"/>
          <w:szCs w:val="21"/>
        </w:rPr>
        <w:t xml:space="preserve">ragionamento a grafo</w:t>
      </w:r>
      <w:r>
        <w:rPr>
          <w:sz w:val="21"/>
          <w:szCs w:val="21"/>
        </w:rPr>
        <w:t xml:space="preserve"> (Appendice B, che estende il recupero verso le domande globali); l'</w:t>
      </w:r>
      <w:r>
        <w:rPr>
          <w:b/>
          <w:bCs/>
          <w:sz w:val="21"/>
          <w:szCs w:val="21"/>
        </w:rPr>
        <w:t xml:space="preserve">imbracatura di affidabilità</w:t>
      </w:r>
      <w:r>
        <w:rPr>
          <w:sz w:val="21"/>
          <w:szCs w:val="21"/>
        </w:rPr>
        <w:t xml:space="preserve"> (Appendice C, la vista trasversale che rende il sistema affidabile); e l'</w:t>
      </w:r>
      <w:r>
        <w:rPr>
          <w:b/>
          <w:bCs/>
          <w:sz w:val="21"/>
          <w:szCs w:val="21"/>
        </w:rPr>
        <w:t xml:space="preserve">adattamento del modello</w:t>
      </w:r>
      <w:r>
        <w:rPr>
          <w:sz w:val="21"/>
          <w:szCs w:val="21"/>
        </w:rPr>
        <w:t xml:space="preserve"> tramite fine-tuning, LoRA e QLoRA (Appendice D, l'approccio che modifica il modello stesso).</w:t>
      </w:r>
    </w:p>
    <w:p>
      <w:pPr>
        <w:spacing w:after="120" w:line="290"/>
        <w:jc w:val="both"/>
      </w:pPr>
      <w:r>
        <w:rPr>
          <w:sz w:val="21"/>
          <w:szCs w:val="21"/>
        </w:rPr>
        <w:t xml:space="preserve">Tutte sono presentate con lo stesso rigore del manuale, ma con un'avvertenza trasversale: si tratta in parte di tecniche </w:t>
      </w:r>
      <w:r>
        <w:rPr>
          <w:i/>
          <w:iCs/>
          <w:sz w:val="21"/>
          <w:szCs w:val="21"/>
        </w:rPr>
        <w:t xml:space="preserve">di frontiera</w:t>
      </w:r>
      <w:r>
        <w:rPr>
          <w:sz w:val="21"/>
          <w:szCs w:val="21"/>
        </w:rPr>
        <w:t xml:space="preserve"> o comunque avanzate, da studiare per comprenderne il valore e adottare solo quando un bisogno concreto lo giustifica — coerentemente con il principio di adozione incrementale enunciato nel manuale.</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Questa appendice presuppone la lettura del manuale principale, in particolare del Capitolo 6 (RAG) e del Capitolo 8 (ingegneria del contesto). I termini già definiti non vengono ridefiniti.</w:t>
      </w:r>
    </w:p>
    <w:p>
      <w:r>
        <w:br w:type="page"/>
      </w:r>
    </w:p>
    <w:p>
      <w:pPr>
        <w:spacing w:after="120"/>
      </w:pPr>
      <w:r>
        <w:rPr>
          <w:b/>
          <w:bCs/>
          <w:color w:val="1A2332"/>
          <w:sz w:val="30"/>
          <w:szCs w:val="30"/>
        </w:rPr>
        <w:t xml:space="preserve">Indice dell'appendice</w:t>
      </w:r>
    </w:p>
    <w:p>
      <w:pPr>
        <w:pBdr>
          <w:bottom w:val="single" w:color="1F3A5F" w:sz="6" w:space="6"/>
        </w:pBdr>
        <w:spacing w:after="140"/>
      </w:pPr>
      <w:r>
        <w:rPr>
          <w:sz w:val="6"/>
          <w:szCs w:val="6"/>
        </w:rPr>
        <w:t xml:space="preserve"/>
      </w:r>
    </w:p>
    <w:sdt>
      <w:sdtPr>
        <w:alias w:val="Sommario"/>
      </w:sdtPr>
      <w:sdtContent>
        <w:p>
          <w:r>
            <w:fldChar w:fldCharType="begin" w:dirty="true"/>
            <w:instrText xml:space="preserve">TOC \h \o "1-2"</w:instrText>
            <w:fldChar w:fldCharType="separate"/>
          </w:r>
        </w:p>
        <w:p>
          <w:r>
            <w:fldChar w:fldCharType="end"/>
          </w:r>
        </w:p>
      </w:sdtContent>
    </w:sdt>
    <w:p>
      <w:r>
        <w:br w:type="page"/>
      </w:r>
    </w:p>
    <w:p>
      <w:pPr>
        <w:spacing w:after="40" w:before="200"/>
      </w:pPr>
      <w:r>
        <w:rPr>
          <w:b/>
          <w:bCs/>
          <w:color w:val="2E6E9E"/>
          <w:spacing w:val="60"/>
          <w:sz w:val="22"/>
          <w:szCs w:val="22"/>
        </w:rPr>
        <w:t xml:space="preserve">APPENDICE A</w:t>
      </w:r>
    </w:p>
    <w:p>
      <w:pPr>
        <w:pStyle w:val="Heading1"/>
        <w:pBdr>
          <w:bottom w:val="single" w:color="1F3A5F" w:sz="12" w:space="6"/>
        </w:pBdr>
        <w:spacing w:after="60"/>
      </w:pPr>
      <w:r>
        <w:rPr>
          <w:b/>
          <w:bCs/>
          <w:color w:val="1A2332"/>
          <w:sz w:val="34"/>
          <w:szCs w:val="34"/>
        </w:rPr>
        <w:t xml:space="preserve">La memoria a lungo termine</w:t>
      </w:r>
    </w:p>
    <w:p>
      <w:pPr>
        <w:spacing w:after="180"/>
      </w:pPr>
      <w:r>
        <w:rPr>
          <w:sz w:val="8"/>
          <w:szCs w:val="8"/>
        </w:rPr>
        <w:t xml:space="preserve"/>
      </w:r>
    </w:p>
    <w:p>
      <w:pPr>
        <w:spacing w:after="120" w:line="290"/>
        <w:jc w:val="both"/>
      </w:pPr>
      <w:r>
        <w:rPr>
          <w:sz w:val="21"/>
          <w:szCs w:val="21"/>
        </w:rPr>
        <w:t xml:space="preserve">Il manuale ha dedicato il RAG al primo limite strutturale — il congelamento della conoscenza. Questa appendice affronta il </w:t>
      </w:r>
      <w:r>
        <w:rPr>
          <w:i/>
          <w:iCs/>
          <w:sz w:val="21"/>
          <w:szCs w:val="21"/>
        </w:rPr>
        <w:t xml:space="preserve">secondo</w:t>
      </w:r>
      <w:r>
        <w:rPr>
          <w:sz w:val="21"/>
          <w:szCs w:val="21"/>
        </w:rPr>
        <w:t xml:space="preserve"> limite, che il RAG non tocca: l'assenza di memoria tra sessioni. È un problema distinto, e richiede strumenti distinti.</w:t>
      </w:r>
    </w:p>
    <w:p>
      <w:pPr>
        <w:pStyle w:val="Heading2"/>
        <w:spacing w:after="100" w:before="240"/>
      </w:pPr>
      <w:r>
        <w:rPr>
          <w:b/>
          <w:bCs/>
          <w:color w:val="1F3A5F"/>
          <w:sz w:val="27"/>
          <w:szCs w:val="27"/>
        </w:rPr>
        <w:t xml:space="preserve">A.1 Perché il RAG non è memoria</w:t>
      </w:r>
    </w:p>
    <w:p>
      <w:pPr>
        <w:spacing w:after="120" w:line="290"/>
        <w:jc w:val="both"/>
      </w:pPr>
      <w:r>
        <w:rPr>
          <w:sz w:val="21"/>
          <w:szCs w:val="21"/>
        </w:rPr>
        <w:t xml:space="preserve">È un fraintendimento comune pensare che il RAG «dia memoria» al modello. Il RAG dà </w:t>
      </w:r>
      <w:r>
        <w:rPr>
          <w:b/>
          <w:bCs/>
          <w:sz w:val="21"/>
          <w:szCs w:val="21"/>
        </w:rPr>
        <w:t xml:space="preserve">conoscenza</w:t>
      </w:r>
      <w:r>
        <w:rPr>
          <w:sz w:val="21"/>
          <w:szCs w:val="21"/>
        </w:rPr>
        <w:t xml:space="preserve"> — accesso a documenti — ma non </w:t>
      </w:r>
      <w:r>
        <w:rPr>
          <w:b/>
          <w:bCs/>
          <w:sz w:val="21"/>
          <w:szCs w:val="21"/>
        </w:rPr>
        <w:t xml:space="preserve">memoria</w:t>
      </w:r>
      <w:r>
        <w:rPr>
          <w:sz w:val="21"/>
          <w:szCs w:val="21"/>
        </w:rPr>
        <w:t xml:space="preserve"> nel senso di continuità personale. Un sistema RAG non ricorda che ieri gli hai chiesto una certa cosa, né quali tue preferenze siano emerse in venti conversazioni precedenti. Recupera documenti, non storia relazionale.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Memoria a lungo termine (dell'agente)</w:t>
      </w:r>
      <w:r>
        <w:rPr>
          <w:color w:val="1A2332"/>
          <w:sz w:val="20"/>
          <w:szCs w:val="20"/>
        </w:rPr>
        <w:br/>
        <w:t xml:space="preserve">Meccanismo che consente a un sistema basato su LLM di conservare e recuperare informazioni rilevanti attraverso sessioni distinte e prolungate nel tempo, così da mantenere continuità, personalizzazione e consapevolezza del contesto storico dell'interazione.</w:t>
      </w:r>
    </w:p>
    <w:p>
      <w:pPr>
        <w:pStyle w:val="Heading2"/>
        <w:spacing w:after="100" w:before="240"/>
      </w:pPr>
      <w:r>
        <w:rPr>
          <w:b/>
          <w:bCs/>
          <w:color w:val="1F3A5F"/>
          <w:sz w:val="27"/>
          <w:szCs w:val="27"/>
        </w:rPr>
        <w:t xml:space="preserve">A.2 I limiti degli approcci ingenui</w:t>
      </w:r>
    </w:p>
    <w:p>
      <w:pPr>
        <w:spacing w:after="120" w:line="290"/>
        <w:jc w:val="both"/>
      </w:pPr>
      <w:r>
        <w:rPr>
          <w:sz w:val="21"/>
          <w:szCs w:val="21"/>
        </w:rPr>
        <w:t xml:space="preserve">La soluzione più semplice — accumulare tutta la cronologia e riversarla nel contesto — fallisce presto: il contesto ha una capacità finita, e riempirlo di storia pregressa è costoso e inefficiente. La seconda soluzione ingenua — riassumere periodicamente la conversazione — soffre di due difetti che la ricerca ha identificato con precisione.</w:t>
      </w:r>
    </w:p>
    <w:p>
      <w:pPr>
        <w:spacing w:after="120" w:line="290"/>
        <w:jc w:val="both"/>
      </w:pPr>
      <w:r>
        <w:rPr>
          <w:sz w:val="21"/>
          <w:szCs w:val="21"/>
        </w:rPr>
        <w:t xml:space="preserve">Il primo difetto è la </w:t>
      </w:r>
      <w:r>
        <w:rPr>
          <w:b/>
          <w:bCs/>
          <w:sz w:val="21"/>
          <w:szCs w:val="21"/>
        </w:rPr>
        <w:t xml:space="preserve">granularità rigida</w:t>
      </w:r>
      <w:r>
        <w:rPr>
          <w:sz w:val="21"/>
          <w:szCs w:val="21"/>
        </w:rPr>
        <w:t xml:space="preserve">: spezzare la memoria in unità di dimensione fissa non rispetta la struttura semantica naturale di una conversazione, producendo rappresentazioni frammentate e incomplete. Il secondo è il </w:t>
      </w:r>
      <w:r>
        <w:rPr>
          <w:b/>
          <w:bCs/>
          <w:sz w:val="21"/>
          <w:szCs w:val="21"/>
        </w:rPr>
        <w:t xml:space="preserve">recupero fisso</w:t>
      </w:r>
      <w:r>
        <w:rPr>
          <w:sz w:val="21"/>
          <w:szCs w:val="21"/>
        </w:rPr>
        <w:t xml:space="preserve">: un meccanismo di recupero che non si adatta ai diversi contesti di dialogo recupera spesso le informazioni sbagliate.</w:t>
      </w:r>
    </w:p>
    <w:p>
      <w:pPr>
        <w:pStyle w:val="Heading2"/>
        <w:spacing w:after="100" w:before="240"/>
      </w:pPr>
      <w:r>
        <w:rPr>
          <w:b/>
          <w:bCs/>
          <w:color w:val="1F3A5F"/>
          <w:sz w:val="27"/>
          <w:szCs w:val="27"/>
        </w:rPr>
        <w:t xml:space="preserve">A.3 Reflective Memory Management (RMM)</w:t>
      </w:r>
    </w:p>
    <w:p>
      <w:pPr>
        <w:spacing w:after="120" w:line="290"/>
        <w:jc w:val="both"/>
      </w:pPr>
      <w:r>
        <w:rPr>
          <w:sz w:val="21"/>
          <w:szCs w:val="21"/>
        </w:rPr>
        <w:t xml:space="preserve">Tra le proposte di ricerca che affrontano questi difetti, una delle più istruttive è la Reflective Memory Management, presentata in ambito accademico nel 2025. La studiamo non perché sia un prodotto da installare — non lo è — ma perché illustra con chiarezza i principi verso cui si muove la memoria degli agenti.</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Reflective Memory Management (RMM)</w:t>
      </w:r>
      <w:r>
        <w:rPr>
          <w:color w:val="1A2332"/>
          <w:sz w:val="20"/>
          <w:szCs w:val="20"/>
        </w:rPr>
        <w:br/>
        <w:t xml:space="preserve">Meccanismo di gestione della memoria per agenti conversazionali a lungo termine che integra due forme di «riflessione»: una prospettiva, che organizza dinamicamente le interazioni in memoria per argomento e a più granularità, e una retrospettiva, che affina nel tempo il criterio di recupero sulla base di quali ricordi si sono rivelati utili.</w:t>
      </w:r>
    </w:p>
    <w:p>
      <w:pPr>
        <w:pStyle w:val="Heading3"/>
        <w:spacing w:after="70" w:before="180"/>
      </w:pPr>
      <w:r>
        <w:rPr>
          <w:b/>
          <w:bCs/>
          <w:color w:val="2E6E9E"/>
          <w:sz w:val="23"/>
          <w:szCs w:val="23"/>
        </w:rPr>
        <w:t xml:space="preserve">A.3.1 La riflessione prospettica</w:t>
      </w:r>
    </w:p>
    <w:p>
      <w:pPr>
        <w:spacing w:after="120" w:line="290"/>
        <w:jc w:val="both"/>
      </w:pPr>
      <w:r>
        <w:rPr>
          <w:sz w:val="21"/>
          <w:szCs w:val="21"/>
        </w:rPr>
        <w:t xml:space="preserve">La prima componente guarda «in avanti»: al termine di un'interazione, invece di spezzare la conversazione in blocchi fissi, la organizza in rappresentazioni </w:t>
      </w:r>
      <w:r>
        <w:rPr>
          <w:b/>
          <w:bCs/>
          <w:sz w:val="21"/>
          <w:szCs w:val="21"/>
        </w:rPr>
        <w:t xml:space="preserve">basate sugli argomenti</w:t>
      </w:r>
      <w:r>
        <w:rPr>
          <w:sz w:val="21"/>
          <w:szCs w:val="21"/>
        </w:rPr>
        <w:t xml:space="preserve">, a più livelli di granularità — il singolo enunciato, lo scambio completo, il tema dell'intera sessione. L'obiettivo è costruire una banca di memoria che rispetti la struttura naturale del dialogo, così da rendere il recupero futuro più preciso.</w:t>
      </w:r>
    </w:p>
    <w:p>
      <w:pPr>
        <w:pStyle w:val="Heading3"/>
        <w:spacing w:after="70" w:before="180"/>
      </w:pPr>
      <w:r>
        <w:rPr>
          <w:b/>
          <w:bCs/>
          <w:color w:val="2E6E9E"/>
          <w:sz w:val="23"/>
          <w:szCs w:val="23"/>
        </w:rPr>
        <w:t xml:space="preserve">A.3.2 La riflessione retrospettiva</w:t>
      </w:r>
    </w:p>
    <w:p>
      <w:pPr>
        <w:spacing w:after="120" w:line="290"/>
        <w:jc w:val="both"/>
      </w:pPr>
      <w:r>
        <w:rPr>
          <w:sz w:val="21"/>
          <w:szCs w:val="21"/>
        </w:rPr>
        <w:t xml:space="preserve">La seconda componente guarda «indietro»: osserva quali ricordi il modello ha effettivamente citato e usato nel produrre buone risposte, e usa questo segnale per </w:t>
      </w:r>
      <w:r>
        <w:rPr>
          <w:b/>
          <w:bCs/>
          <w:sz w:val="21"/>
          <w:szCs w:val="21"/>
        </w:rPr>
        <w:t xml:space="preserve">raffinare il proprio criterio di recupero nel tempo</w:t>
      </w:r>
      <w:r>
        <w:rPr>
          <w:sz w:val="21"/>
          <w:szCs w:val="21"/>
        </w:rPr>
        <w:t xml:space="preserve">, con un meccanismo di apprendimento per rinforzo online. Il sistema, in sostanza, impara dai propri successi a recuperare meglio.</w:t>
      </w:r>
    </w:p>
    <w:p>
      <w:pPr>
        <w:spacing w:after="40" w:before="120"/>
      </w:pPr>
      <w:r>
        <w:rPr>
          <w:b/>
          <w:bCs/>
          <w:color w:val="1565C0"/>
          <w:sz w:val="20"/>
          <w:szCs w:val="20"/>
        </w:rPr>
        <w:t xml:space="preserve">Esempio — perché la riflessione migliora la memoria</w:t>
      </w:r>
    </w:p>
    <w:p>
      <w:pPr>
        <w:spacing w:after="120" w:line="288"/>
        <w:ind w:left="200"/>
        <w:jc w:val="both"/>
      </w:pPr>
      <w:r>
        <w:rPr>
          <w:sz w:val="21"/>
          <w:szCs w:val="21"/>
        </w:rPr>
        <w:t xml:space="preserve">Si immagini un assistente che, in sessioni diverse, ha discusso con l'utente di più progetti. Un sistema a granularità fissa potrebbe recuperare, alla domanda su un progetto, frammenti mescolati di progetti diversi. La riflessione prospettica, organizzando la memoria per argomento, tiene distinti i progetti; la riflessione retrospettiva, osservando che i ricordi «giusti» sono quelli citati nelle risposte utili, impara a privilegiarli. Il risultato è una continuità che migliora con l'uso invece di degradare.</w:t>
      </w:r>
    </w:p>
    <w:p>
      <w:pPr>
        <w:pBdr>
          <w:left w:val="single" w:color="E65100" w:sz="24" w:space="10"/>
        </w:pBdr>
        <w:shd w:fill="FDF3E7" w:color="auto" w:val="clear"/>
        <w:spacing w:after="120" w:before="80"/>
      </w:pPr>
      <w:r>
        <w:rPr>
          <w:b/>
          <w:bCs/>
          <w:color w:val="E65100"/>
          <w:sz w:val="19"/>
          <w:szCs w:val="19"/>
        </w:rPr>
        <w:t xml:space="preserve">Avvertenza. </w:t>
      </w:r>
      <w:r>
        <w:rPr>
          <w:color w:val="1A2332"/>
          <w:sz w:val="19"/>
          <w:szCs w:val="19"/>
        </w:rPr>
        <w:t xml:space="preserve">RMM è un lavoro di ricerca, non un componente pronto all'uso. Implementarlo richiede lavoro ingegneristico non banale e non esiste come pacchetto da installare con un comando. Va considerato una fonte di principi architetturali, non una dipendenza dello stack. Per un uso pratico della memoria a lungo termine, si guardi alle soluzioni consolidate del §A.4.</w:t>
      </w:r>
    </w:p>
    <w:p>
      <w:pPr>
        <w:pStyle w:val="Heading2"/>
        <w:spacing w:after="100" w:before="240"/>
      </w:pPr>
      <w:r>
        <w:rPr>
          <w:b/>
          <w:bCs/>
          <w:color w:val="1F3A5F"/>
          <w:sz w:val="27"/>
          <w:szCs w:val="27"/>
        </w:rPr>
        <w:t xml:space="preserve">A.4 Il percorso pratico verso la memoria</w:t>
      </w:r>
    </w:p>
    <w:p>
      <w:pPr>
        <w:spacing w:after="120" w:line="290"/>
        <w:jc w:val="both"/>
      </w:pPr>
      <w:r>
        <w:rPr>
          <w:sz w:val="21"/>
          <w:szCs w:val="21"/>
        </w:rPr>
        <w:t xml:space="preserve">Tradotto in scelte operative, dare memoria a un sistema locale segue una progressione incrementale.</w:t>
      </w:r>
    </w:p>
    <w:p>
      <w:pPr>
        <w:pStyle w:val="ListParagraph"/>
        <w:numPr>
          <w:ilvl w:val="0"/>
          <w:numId w:val="2"/>
        </w:numPr>
        <w:spacing w:after="70" w:line="284"/>
      </w:pPr>
      <w:r>
        <w:rPr>
          <w:b/>
          <w:bCs/>
          <w:sz w:val="21"/>
          <w:szCs w:val="21"/>
        </w:rPr>
        <w:t xml:space="preserve">Livello base: </w:t>
      </w:r>
      <w:r>
        <w:rPr>
          <w:sz w:val="21"/>
          <w:szCs w:val="21"/>
        </w:rPr>
        <w:t xml:space="preserve">usare la memoria già integrata negli strumenti dello stack. Le applicazioni mature di RAG e gli agenti locali offrono forme di memoria gestita e persistenza delle conversazioni sufficienti per la maggior parte dei bisogni.</w:t>
      </w:r>
    </w:p>
    <w:p>
      <w:pPr>
        <w:pStyle w:val="ListParagraph"/>
        <w:numPr>
          <w:ilvl w:val="0"/>
          <w:numId w:val="2"/>
        </w:numPr>
        <w:spacing w:after="70" w:line="284"/>
      </w:pPr>
      <w:r>
        <w:rPr>
          <w:b/>
          <w:bCs/>
          <w:sz w:val="21"/>
          <w:szCs w:val="21"/>
        </w:rPr>
        <w:t xml:space="preserve">Livello intermedio: </w:t>
      </w:r>
      <w:r>
        <w:rPr>
          <w:sz w:val="21"/>
          <w:szCs w:val="21"/>
        </w:rPr>
        <w:t xml:space="preserve">adottare un framework di memoria dedicato e installabile, che incorpora già alcune idee riflessive senza richiedere di implementarle da zero.</w:t>
      </w:r>
    </w:p>
    <w:p>
      <w:pPr>
        <w:pStyle w:val="ListParagraph"/>
        <w:numPr>
          <w:ilvl w:val="0"/>
          <w:numId w:val="2"/>
        </w:numPr>
        <w:spacing w:after="70" w:line="284"/>
      </w:pPr>
      <w:r>
        <w:rPr>
          <w:b/>
          <w:bCs/>
          <w:sz w:val="21"/>
          <w:szCs w:val="21"/>
        </w:rPr>
        <w:t xml:space="preserve">Livello avanzato: </w:t>
      </w:r>
      <w:r>
        <w:rPr>
          <w:sz w:val="21"/>
          <w:szCs w:val="21"/>
        </w:rPr>
        <w:t xml:space="preserve">guardare a tecniche come RMM come ispirazione architetturale, da valutare solo in presenza di un bisogno dimostrato di continuità sofisticata e di risorse ingegneristiche adeguate.</w:t>
      </w:r>
    </w:p>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Il RAG dà conoscenza (accesso ai documenti), non memoria (continuità tra sessioni): sono limiti distinti.</w:t>
      </w:r>
    </w:p>
    <w:p>
      <w:pPr>
        <w:pStyle w:val="ListParagraph"/>
        <w:numPr>
          <w:ilvl w:val="0"/>
          <w:numId w:val="2"/>
        </w:numPr>
        <w:spacing w:after="60" w:line="280"/>
      </w:pPr>
      <w:r>
        <w:rPr>
          <w:sz w:val="20"/>
          <w:szCs w:val="20"/>
        </w:rPr>
        <w:t xml:space="preserve">Gli approcci ingenui alla memoria falliscono per granularità rigida e recupero fisso.</w:t>
      </w:r>
    </w:p>
    <w:p>
      <w:pPr>
        <w:pStyle w:val="ListParagraph"/>
        <w:numPr>
          <w:ilvl w:val="0"/>
          <w:numId w:val="2"/>
        </w:numPr>
        <w:spacing w:after="60" w:line="280"/>
      </w:pPr>
      <w:r>
        <w:rPr>
          <w:sz w:val="20"/>
          <w:szCs w:val="20"/>
        </w:rPr>
        <w:t xml:space="preserve">RMM propone due riflessioni: prospettica (organizza la memoria per argomento) e retrospettiva (affina il recupero imparando da ciò che è stato utile).</w:t>
      </w:r>
    </w:p>
    <w:p>
      <w:pPr>
        <w:pStyle w:val="ListParagraph"/>
        <w:numPr>
          <w:ilvl w:val="0"/>
          <w:numId w:val="2"/>
        </w:numPr>
        <w:spacing w:after="60" w:line="280"/>
      </w:pPr>
      <w:r>
        <w:rPr>
          <w:sz w:val="20"/>
          <w:szCs w:val="20"/>
        </w:rPr>
        <w:t xml:space="preserve">RMM è ricerca, non prodotto: se ne studiano i principi, ma per l'uso pratico si adottano soluzioni di memoria consolidate.</w:t>
      </w:r>
    </w:p>
    <w:p>
      <w:pPr>
        <w:pStyle w:val="ListParagraph"/>
        <w:numPr>
          <w:ilvl w:val="0"/>
          <w:numId w:val="2"/>
        </w:numPr>
        <w:spacing w:after="60" w:line="280"/>
      </w:pPr>
      <w:r>
        <w:rPr>
          <w:sz w:val="20"/>
          <w:szCs w:val="20"/>
        </w:rPr>
        <w:t xml:space="preserve">Il percorso corretto è incrementale: memoria integrata → framework dedicato → tecniche di frontiera solo se necessario.</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3"/>
        </w:numPr>
        <w:spacing w:after="90" w:line="284"/>
        <w:jc w:val="both"/>
      </w:pPr>
      <w:r>
        <w:rPr>
          <w:sz w:val="20"/>
          <w:szCs w:val="20"/>
        </w:rPr>
        <w:t xml:space="preserve">Spiega perché è errato affermare che «il RAG dà memoria al modello». Distingui i concetti di conoscenza e memoria.</w:t>
      </w:r>
    </w:p>
    <w:p>
      <w:pPr>
        <w:pStyle w:val="ListParagraph"/>
        <w:numPr>
          <w:ilvl w:val="0"/>
          <w:numId w:val="3"/>
        </w:numPr>
        <w:spacing w:after="90" w:line="284"/>
        <w:jc w:val="both"/>
      </w:pPr>
      <w:r>
        <w:rPr>
          <w:sz w:val="20"/>
          <w:szCs w:val="20"/>
        </w:rPr>
        <w:t xml:space="preserve">Descrivi i due difetti degli approcci ingenui alla memoria (granularità rigida e recupero fisso) con un esempio per ciascuno.</w:t>
      </w:r>
    </w:p>
    <w:p>
      <w:pPr>
        <w:pStyle w:val="ListParagraph"/>
        <w:numPr>
          <w:ilvl w:val="0"/>
          <w:numId w:val="3"/>
        </w:numPr>
        <w:spacing w:after="90" w:line="284"/>
        <w:jc w:val="both"/>
      </w:pPr>
      <w:r>
        <w:rPr>
          <w:sz w:val="20"/>
          <w:szCs w:val="20"/>
        </w:rPr>
        <w:t xml:space="preserve">Illustra le due componenti di RMM (riflessione prospettica e retrospettiva) e il ruolo che ciascuna svolge.</w:t>
      </w:r>
    </w:p>
    <w:p>
      <w:pPr>
        <w:pStyle w:val="ListParagraph"/>
        <w:numPr>
          <w:ilvl w:val="0"/>
          <w:numId w:val="3"/>
        </w:numPr>
        <w:spacing w:after="90" w:line="284"/>
        <w:jc w:val="both"/>
      </w:pPr>
      <w:r>
        <w:rPr>
          <w:sz w:val="20"/>
          <w:szCs w:val="20"/>
        </w:rPr>
        <w:t xml:space="preserve">Perché RMM è descritta come «ispirazione architetturale» e non come «componente da installare»? Collega la risposta al principio di adozione incrementale.</w:t>
      </w:r>
    </w:p>
    <w:p>
      <w:pPr>
        <w:pStyle w:val="ListParagraph"/>
        <w:numPr>
          <w:ilvl w:val="0"/>
          <w:numId w:val="3"/>
        </w:numPr>
        <w:spacing w:after="90" w:line="284"/>
        <w:jc w:val="both"/>
      </w:pPr>
      <w:r>
        <w:rPr>
          <w:sz w:val="20"/>
          <w:szCs w:val="20"/>
        </w:rPr>
        <w:t xml:space="preserve">Per un caso d'uso che conosci, indica a quale dei tre livelli pratici del §A.4 ti fermeresti, e perché.</w:t>
      </w:r>
    </w:p>
    <w:p>
      <w:r>
        <w:br w:type="page"/>
      </w:r>
    </w:p>
    <w:p>
      <w:pPr>
        <w:spacing w:after="40" w:before="200"/>
      </w:pPr>
      <w:r>
        <w:rPr>
          <w:b/>
          <w:bCs/>
          <w:color w:val="2E6E9E"/>
          <w:spacing w:val="60"/>
          <w:sz w:val="22"/>
          <w:szCs w:val="22"/>
        </w:rPr>
        <w:t xml:space="preserve">APPENDICE B</w:t>
      </w:r>
    </w:p>
    <w:p>
      <w:pPr>
        <w:pStyle w:val="Heading1"/>
        <w:pBdr>
          <w:bottom w:val="single" w:color="1F3A5F" w:sz="12" w:space="6"/>
        </w:pBdr>
        <w:spacing w:after="60"/>
      </w:pPr>
      <w:r>
        <w:rPr>
          <w:b/>
          <w:bCs/>
          <w:color w:val="1A2332"/>
          <w:sz w:val="34"/>
          <w:szCs w:val="34"/>
        </w:rPr>
        <w:t xml:space="preserve">Il ragionamento a grafo (GraphRAG)</w:t>
      </w:r>
    </w:p>
    <w:p>
      <w:pPr>
        <w:spacing w:after="180"/>
      </w:pPr>
      <w:r>
        <w:rPr>
          <w:sz w:val="8"/>
          <w:szCs w:val="8"/>
        </w:rPr>
        <w:t xml:space="preserve"/>
      </w:r>
    </w:p>
    <w:p>
      <w:pPr>
        <w:spacing w:after="120" w:line="290"/>
        <w:jc w:val="both"/>
      </w:pPr>
      <w:r>
        <w:rPr>
          <w:sz w:val="21"/>
          <w:szCs w:val="21"/>
        </w:rPr>
        <w:t xml:space="preserve">Il RAG vettoriale studiato nel manuale eccelle nelle domande «locali», la cui risposta risiede in un frammento specifico. Ha però un punto cieco: le domande «globali», che richiedono di collegare informazioni disseminate in molti documenti. Questa appendice studia il paradigma che colma quel vuoto: il ragionamento a grafo.</w:t>
      </w:r>
    </w:p>
    <w:p>
      <w:pPr>
        <w:pStyle w:val="Heading2"/>
        <w:spacing w:after="100" w:before="240"/>
      </w:pPr>
      <w:r>
        <w:rPr>
          <w:b/>
          <w:bCs/>
          <w:color w:val="1F3A5F"/>
          <w:sz w:val="27"/>
          <w:szCs w:val="27"/>
        </w:rPr>
        <w:t xml:space="preserve">B.1 Il limite del recupero vettoriale</w:t>
      </w:r>
    </w:p>
    <w:p>
      <w:pPr>
        <w:spacing w:after="120" w:line="290"/>
        <w:jc w:val="both"/>
      </w:pPr>
      <w:r>
        <w:rPr>
          <w:sz w:val="21"/>
          <w:szCs w:val="21"/>
        </w:rPr>
        <w:t xml:space="preserve">Si consideri la domanda: «quali temi ricorrono nell'insieme dei miei documenti?». Nessun singolo frammento contiene la risposta, perché «il tema d'insieme» non è scritto in alcun chunk: emerge dalla </w:t>
      </w:r>
      <w:r>
        <w:rPr>
          <w:i/>
          <w:iCs/>
          <w:sz w:val="21"/>
          <w:szCs w:val="21"/>
        </w:rPr>
        <w:t xml:space="preserve">relazione</w:t>
      </w:r>
      <w:r>
        <w:rPr>
          <w:sz w:val="21"/>
          <w:szCs w:val="21"/>
        </w:rPr>
        <w:t xml:space="preserve"> tra molti frammenti. Il recupero per similarità, che cerca il chunk più vicino alla domanda, qui fallisce — non esiste un chunk «vicino» a una domanda sull'insieme.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Domanda locale / Domanda globale</w:t>
      </w:r>
      <w:r>
        <w:rPr>
          <w:color w:val="1A2332"/>
          <w:sz w:val="20"/>
          <w:szCs w:val="20"/>
        </w:rPr>
        <w:br/>
        <w:t xml:space="preserve">Una domanda locale ha risposta contenuta in uno o pochi frammenti specifici del corpus («cosa dice il documento X su Y?»). Una domanda globale richiede di sintetizzare o collegare informazioni distribuite nell'intero corpus («quali sono i temi ricorrenti?», «come si collegano questi concetti?»).</w:t>
      </w:r>
    </w:p>
    <w:p>
      <w:pPr>
        <w:pStyle w:val="Heading2"/>
        <w:spacing w:after="100" w:before="240"/>
      </w:pPr>
      <w:r>
        <w:rPr>
          <w:b/>
          <w:bCs/>
          <w:color w:val="1F3A5F"/>
          <w:sz w:val="27"/>
          <w:szCs w:val="27"/>
        </w:rPr>
        <w:t xml:space="preserve">B.2 GraphRAG: l'idea centrale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GraphRAG (Graph-based RAG)</w:t>
      </w:r>
      <w:r>
        <w:rPr>
          <w:color w:val="1A2332"/>
          <w:sz w:val="20"/>
          <w:szCs w:val="20"/>
        </w:rPr>
        <w:br/>
        <w:t xml:space="preserve">Sistema di generazione aumentata dal recupero che, anziché limitarsi a recuperare frammenti per similarità, costruisce preventivamente un grafo di conoscenza dal corpus — entità come nodi, relazioni come archi — e ne deriva riassunti gerarchici, così da rispondere anche alle domande globali che il recupero vettoriale non affronta.</w:t>
      </w:r>
    </w:p>
    <w:p>
      <w:pPr>
        <w:spacing w:after="120" w:line="290"/>
        <w:jc w:val="both"/>
      </w:pPr>
      <w:r>
        <w:rPr>
          <w:sz w:val="21"/>
          <w:szCs w:val="21"/>
        </w:rPr>
        <w:t xml:space="preserve">La differenza rispetto al RAG vettoriale è che GraphRAG aggiunge una fase di </w:t>
      </w:r>
      <w:r>
        <w:rPr>
          <w:b/>
          <w:bCs/>
          <w:sz w:val="21"/>
          <w:szCs w:val="21"/>
        </w:rPr>
        <w:t xml:space="preserve">comprensione strutturale</w:t>
      </w:r>
      <w:r>
        <w:rPr>
          <w:sz w:val="21"/>
          <w:szCs w:val="21"/>
        </w:rPr>
        <w:t xml:space="preserve"> del corpus, svolta prima che arrivi qualsiasi domanda. Vediamola nei suoi quattro passaggi.</w:t>
      </w:r>
    </w:p>
    <w:p>
      <w:pPr>
        <w:pStyle w:val="Heading2"/>
        <w:spacing w:after="100" w:before="240"/>
      </w:pPr>
      <w:r>
        <w:rPr>
          <w:b/>
          <w:bCs/>
          <w:color w:val="1F3A5F"/>
          <w:sz w:val="27"/>
          <w:szCs w:val="27"/>
        </w:rPr>
        <w:t xml:space="preserve">B.3 La pipeline di costruzione</w:t>
      </w:r>
    </w:p>
    <w:p>
      <w:pPr>
        <w:pStyle w:val="Heading3"/>
        <w:spacing w:after="70" w:before="180"/>
      </w:pPr>
      <w:r>
        <w:rPr>
          <w:b/>
          <w:bCs/>
          <w:color w:val="2E6E9E"/>
          <w:sz w:val="23"/>
          <w:szCs w:val="23"/>
        </w:rPr>
        <w:t xml:space="preserve">B.3.1 Estrazione di entità e relazioni</w:t>
      </w:r>
    </w:p>
    <w:p>
      <w:pPr>
        <w:spacing w:after="120" w:line="290"/>
        <w:jc w:val="both"/>
      </w:pPr>
      <w:r>
        <w:rPr>
          <w:sz w:val="21"/>
          <w:szCs w:val="21"/>
        </w:rPr>
        <w:t xml:space="preserve">Ogni frammento viene passato al modello non per vettorizzarlo, ma per estrarne le </w:t>
      </w:r>
      <w:r>
        <w:rPr>
          <w:b/>
          <w:bCs/>
          <w:sz w:val="21"/>
          <w:szCs w:val="21"/>
        </w:rPr>
        <w:t xml:space="preserve">entità</w:t>
      </w:r>
      <w:r>
        <w:rPr>
          <w:sz w:val="21"/>
          <w:szCs w:val="21"/>
        </w:rPr>
        <w:t xml:space="preserve"> (persone, concetti, organizzazioni, eventi) e le </w:t>
      </w:r>
      <w:r>
        <w:rPr>
          <w:b/>
          <w:bCs/>
          <w:sz w:val="21"/>
          <w:szCs w:val="21"/>
        </w:rPr>
        <w:t xml:space="preserve">relazioni</w:t>
      </w:r>
      <w:r>
        <w:rPr>
          <w:sz w:val="21"/>
          <w:szCs w:val="21"/>
        </w:rPr>
        <w:t xml:space="preserve"> tra esse. Il prodotto non è un vettore ma una struttura di nodi e archi.</w:t>
      </w:r>
    </w:p>
    <w:p>
      <w:pPr>
        <w:pStyle w:val="Heading3"/>
        <w:spacing w:after="70" w:before="180"/>
      </w:pPr>
      <w:r>
        <w:rPr>
          <w:b/>
          <w:bCs/>
          <w:color w:val="2E6E9E"/>
          <w:sz w:val="23"/>
          <w:szCs w:val="23"/>
        </w:rPr>
        <w:t xml:space="preserve">B.3.2 Costruzione e unificazione del grafo</w:t>
      </w:r>
    </w:p>
    <w:p>
      <w:pPr>
        <w:spacing w:after="120" w:line="290"/>
        <w:jc w:val="both"/>
      </w:pPr>
      <w:r>
        <w:rPr>
          <w:sz w:val="21"/>
          <w:szCs w:val="21"/>
        </w:rPr>
        <w:t xml:space="preserve">I nodi estratti da documenti diversi vengono unificati: un'entità che compare in dieci documenti diventa un unico nodo collegato a tutti i suoi contesti. È qui che GraphRAG supera il recupero vettoriale, in cui ogni frammento resta un'isola: nel grafo, le informazioni sparse si </w:t>
      </w:r>
      <w:r>
        <w:rPr>
          <w:b/>
          <w:bCs/>
          <w:sz w:val="21"/>
          <w:szCs w:val="21"/>
        </w:rPr>
        <w:t xml:space="preserve">connettono</w:t>
      </w:r>
      <w:r>
        <w:rPr>
          <w:sz w:val="21"/>
          <w:szCs w:val="21"/>
        </w:rPr>
        <w:t xml:space="preserve">.</w:t>
      </w:r>
    </w:p>
    <w:p>
      <w:pPr>
        <w:pStyle w:val="Heading3"/>
        <w:spacing w:after="70" w:before="180"/>
      </w:pPr>
      <w:r>
        <w:rPr>
          <w:b/>
          <w:bCs/>
          <w:color w:val="2E6E9E"/>
          <w:sz w:val="23"/>
          <w:szCs w:val="23"/>
        </w:rPr>
        <w:t xml:space="preserve">B.3.3 Rilevamento delle comunità</w:t>
      </w:r>
    </w:p>
    <w:p>
      <w:pPr>
        <w:spacing w:after="120" w:line="290"/>
        <w:jc w:val="both"/>
      </w:pPr>
      <w:r>
        <w:rPr>
          <w:sz w:val="21"/>
          <w:szCs w:val="21"/>
        </w:rPr>
        <w:t xml:space="preserve">Sul grafo si applica un algoritmo di rilevamento delle comunità (tipicamente l'algoritmo di Leiden), che individua gruppi di nodi densamente interconnessi. Queste </w:t>
      </w:r>
      <w:r>
        <w:rPr>
          <w:b/>
          <w:bCs/>
          <w:sz w:val="21"/>
          <w:szCs w:val="21"/>
        </w:rPr>
        <w:t xml:space="preserve">comunità</w:t>
      </w:r>
      <w:r>
        <w:rPr>
          <w:sz w:val="21"/>
          <w:szCs w:val="21"/>
        </w:rPr>
        <w:t xml:space="preserve"> corrispondono ai temi emergenti del corpus — scoperti dalla struttura dei dati, non dichiarati in anticipo.</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Rilevamento delle comunità (community detection)</w:t>
      </w:r>
      <w:r>
        <w:rPr>
          <w:color w:val="1A2332"/>
          <w:sz w:val="20"/>
          <w:szCs w:val="20"/>
        </w:rPr>
        <w:br/>
        <w:t xml:space="preserve">Procedura algoritmica che, dato un grafo, individua sottoinsiemi di nodi più densamente collegati tra loro che con il resto del grafo. In GraphRAG, tali sottoinsiemi rappresentano i temi coerenti attorno a cui si organizza la conoscenza del corpus.</w:t>
      </w:r>
    </w:p>
    <w:p>
      <w:pPr>
        <w:pStyle w:val="Heading3"/>
        <w:spacing w:after="70" w:before="180"/>
      </w:pPr>
      <w:r>
        <w:rPr>
          <w:b/>
          <w:bCs/>
          <w:color w:val="2E6E9E"/>
          <w:sz w:val="23"/>
          <w:szCs w:val="23"/>
        </w:rPr>
        <w:t xml:space="preserve">B.3.4 Riassunti gerarchici</w:t>
      </w:r>
    </w:p>
    <w:p>
      <w:pPr>
        <w:spacing w:after="120" w:line="290"/>
        <w:jc w:val="both"/>
      </w:pPr>
      <w:r>
        <w:rPr>
          <w:sz w:val="21"/>
          <w:szCs w:val="21"/>
        </w:rPr>
        <w:t xml:space="preserve">Per ogni comunità, il modello genera un riassunto. Poiché le comunità sono </w:t>
      </w:r>
      <w:r>
        <w:rPr>
          <w:b/>
          <w:bCs/>
          <w:sz w:val="21"/>
          <w:szCs w:val="21"/>
        </w:rPr>
        <w:t xml:space="preserve">gerarchiche</w:t>
      </w:r>
      <w:r>
        <w:rPr>
          <w:sz w:val="21"/>
          <w:szCs w:val="21"/>
        </w:rPr>
        <w:t xml:space="preserve"> — comunità piccole annidate in comunità più grandi — si ottengono riassunti a più livelli, dal dettaglio fine alla visione d'insieme dell'intero corpus. Sono questi riassunti a permettere di rispondere alle domande globali.</w:t>
      </w:r>
    </w:p>
    <w:p>
      <w:pPr>
        <w:pStyle w:val="Heading2"/>
        <w:spacing w:after="100" w:before="240"/>
      </w:pPr>
      <w:r>
        <w:rPr>
          <w:b/>
          <w:bCs/>
          <w:color w:val="1F3A5F"/>
          <w:sz w:val="27"/>
          <w:szCs w:val="27"/>
        </w:rPr>
        <w:t xml:space="preserve">B.4 Come risponde alle domande</w:t>
      </w:r>
    </w:p>
    <w:p>
      <w:pPr>
        <w:spacing w:after="120" w:line="290"/>
        <w:jc w:val="both"/>
      </w:pPr>
      <w:r>
        <w:rPr>
          <w:sz w:val="21"/>
          <w:szCs w:val="21"/>
        </w:rPr>
        <w:t xml:space="preserve">Con la struttura pre-costruita, GraphRAG affronta entrambe le classi di domande:</w:t>
      </w:r>
    </w:p>
    <w:p>
      <w:pPr>
        <w:pBdr>
          <w:top w:val="single" w:color="C9D3DE" w:sz="2" w:space="4"/>
          <w:bottom w:val="single" w:color="C9D3DE" w:sz="2" w:space="4"/>
          <w:left w:val="single" w:color="2E6E9E" w:sz="18" w:space="8"/>
          <w:right w:val="single" w:color="C9D3DE" w:sz="2" w:space="4"/>
        </w:pBdr>
        <w:shd w:fill="F5F7F9" w:color="auto" w:val="clear"/>
        <w:spacing w:after="140" w:before="80"/>
      </w:pPr>
      <w:r>
        <w:rPr>
          <w:rFonts w:ascii="Consolas" w:cs="Consolas" w:eastAsia="Consolas" w:hAnsi="Consolas"/>
          <w:color w:val="1A1A1A"/>
          <w:sz w:val="18"/>
          <w:szCs w:val="18"/>
        </w:rPr>
        <w:t xml:space="preserve">Domanda LOCALE  → naviga il grafo fino ai nodi</w:t>
      </w:r>
      <w:r>
        <w:rPr>
          <w:rFonts w:ascii="Consolas" w:cs="Consolas" w:eastAsia="Consolas" w:hAnsi="Consolas"/>
          <w:color w:val="1A1A1A"/>
          <w:sz w:val="18"/>
          <w:szCs w:val="18"/>
        </w:rPr>
        <w:br/>
        <w:t xml:space="preserve">  («cosa dice X    pertinenti e ai loro frammenti</w:t>
      </w:r>
      <w:r>
        <w:rPr>
          <w:rFonts w:ascii="Consolas" w:cs="Consolas" w:eastAsia="Consolas" w:hAnsi="Consolas"/>
          <w:color w:val="1A1A1A"/>
          <w:sz w:val="18"/>
          <w:szCs w:val="18"/>
        </w:rPr>
        <w:br/>
        <w:t xml:space="preserve">   su Y?»)          (simile a un RAG raffinato)</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Domanda GLOBALE → usa i riassunti di comunità,</w:t>
      </w:r>
      <w:r>
        <w:rPr>
          <w:rFonts w:ascii="Consolas" w:cs="Consolas" w:eastAsia="Consolas" w:hAnsi="Consolas"/>
          <w:color w:val="1A1A1A"/>
          <w:sz w:val="18"/>
          <w:szCs w:val="18"/>
        </w:rPr>
        <w:br/>
        <w:t xml:space="preserve">  («quali temi      che sintetizzano l'insieme</w:t>
      </w:r>
      <w:r>
        <w:rPr>
          <w:rFonts w:ascii="Consolas" w:cs="Consolas" w:eastAsia="Consolas" w:hAnsi="Consolas"/>
          <w:color w:val="1A1A1A"/>
          <w:sz w:val="18"/>
          <w:szCs w:val="18"/>
        </w:rPr>
        <w:br/>
        <w:t xml:space="preserve">   ricorrono?»)     (impossibile al RAG vettoriale)</w:t>
      </w:r>
    </w:p>
    <w:p>
      <w:pPr>
        <w:spacing w:after="40" w:before="120"/>
      </w:pPr>
      <w:r>
        <w:rPr>
          <w:b/>
          <w:bCs/>
          <w:color w:val="1565C0"/>
          <w:sz w:val="20"/>
          <w:szCs w:val="20"/>
        </w:rPr>
        <w:t xml:space="preserve">Esempio — l'entità che il RAG vettoriale non trova</w:t>
      </w:r>
    </w:p>
    <w:p>
      <w:pPr>
        <w:spacing w:after="120" w:line="288"/>
        <w:ind w:left="200"/>
        <w:jc w:val="both"/>
      </w:pPr>
      <w:r>
        <w:rPr>
          <w:sz w:val="21"/>
          <w:szCs w:val="21"/>
        </w:rPr>
        <w:t xml:space="preserve">Alla domanda «cos'è una certa entità menzionata di sfuggita in più documenti?», il recupero vettoriale può fallire se nessun singolo frammento la definisce compiutamente. GraphRAG, avendo individuato quell'entità come nodo e tracciato tutte le sue relazioni nel grafo, ricostruisce una risposta completa collegando i contributi sparsi. La conoscenza non era in un frammento: era nella rete delle relazioni.</w:t>
      </w:r>
    </w:p>
    <w:p>
      <w:pPr>
        <w:pStyle w:val="Heading2"/>
        <w:spacing w:after="100" w:before="240"/>
      </w:pPr>
      <w:r>
        <w:rPr>
          <w:b/>
          <w:bCs/>
          <w:color w:val="1F3A5F"/>
          <w:sz w:val="27"/>
          <w:szCs w:val="27"/>
        </w:rPr>
        <w:t xml:space="preserve">B.5 Il costo e i vincoli pratici</w:t>
      </w:r>
    </w:p>
    <w:p>
      <w:pPr>
        <w:spacing w:after="120" w:line="290"/>
        <w:jc w:val="both"/>
      </w:pPr>
      <w:r>
        <w:rPr>
          <w:sz w:val="21"/>
          <w:szCs w:val="21"/>
        </w:rPr>
        <w:t xml:space="preserve">La potenza di GraphRAG ha un prezzo, ed è essenziale comprenderlo prima di adottarlo. I passaggi di estrazione e di riassunto richiedono </w:t>
      </w:r>
      <w:r>
        <w:rPr>
          <w:b/>
          <w:bCs/>
          <w:sz w:val="21"/>
          <w:szCs w:val="21"/>
        </w:rPr>
        <w:t xml:space="preserve">una o più chiamate al modello per ogni frammento e per ogni comunità</w:t>
      </w:r>
      <w:r>
        <w:rPr>
          <w:sz w:val="21"/>
          <w:szCs w:val="21"/>
        </w:rPr>
        <w:t xml:space="preserve">. Se il RAG vettoriale interpella il modello essenzialmente una volta per domanda, GraphRAG lo interpella centinaia o migliaia di volte </w:t>
      </w:r>
      <w:r>
        <w:rPr>
          <w:i/>
          <w:iCs/>
          <w:sz w:val="21"/>
          <w:szCs w:val="21"/>
        </w:rPr>
        <w:t xml:space="preserve">in fase di indicizzazione</w:t>
      </w:r>
      <w:r>
        <w:rPr>
          <w:sz w:val="21"/>
          <w:szCs w:val="21"/>
        </w:rPr>
        <w:t xml:space="preserve">, prima ancora di ricevere una domanda.</w:t>
      </w:r>
    </w:p>
    <w:p>
      <w:pPr>
        <w:pBdr>
          <w:left w:val="single" w:color="E65100" w:sz="24" w:space="10"/>
        </w:pBdr>
        <w:shd w:fill="FDF3E7" w:color="auto" w:val="clear"/>
        <w:spacing w:after="120" w:before="80"/>
      </w:pPr>
      <w:r>
        <w:rPr>
          <w:b/>
          <w:bCs/>
          <w:color w:val="E65100"/>
          <w:sz w:val="19"/>
          <w:szCs w:val="19"/>
        </w:rPr>
        <w:t xml:space="preserve">Avvertenza. </w:t>
      </w:r>
      <w:r>
        <w:rPr>
          <w:color w:val="1A2332"/>
          <w:sz w:val="19"/>
          <w:szCs w:val="19"/>
        </w:rPr>
        <w:t xml:space="preserve">Su hardware locale con un modello di fascia media, l'indicizzazione di un corpus significativo può richiedere ore di calcolo. È un costo una tantum — pagato una volta, poi si interroga liberamente — ma va pianificato. L'aggiornamento incrementale del grafo, quando si aggiungono documenti, è storicamente uno dei punti deboli di queste pipeline.</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La pipeline di riferimento che ha definito la categoria è un progetto di ricerca oggi in modalità manutenzione: eccellente come riferimento concettuale, ma per l'uso pratico esistono varianti più leggere che ne implementano le idee con costi di indicizzazione inferiori, spesso più adatte a un contesto locale.</w:t>
      </w:r>
    </w:p>
    <w:p>
      <w:pPr>
        <w:pStyle w:val="Heading2"/>
        <w:spacing w:after="100" w:before="240"/>
      </w:pPr>
      <w:r>
        <w:rPr>
          <w:b/>
          <w:bCs/>
          <w:color w:val="1F3A5F"/>
          <w:sz w:val="27"/>
          <w:szCs w:val="27"/>
        </w:rPr>
        <w:t xml:space="preserve">B.6 Quando adottarlo: il criterio</w:t>
      </w:r>
    </w:p>
    <w:p>
      <w:pPr>
        <w:spacing w:after="120" w:line="290"/>
        <w:jc w:val="both"/>
      </w:pPr>
      <w:r>
        <w:rPr>
          <w:sz w:val="21"/>
          <w:szCs w:val="21"/>
        </w:rPr>
        <w:t xml:space="preserve">Coerentemente con il principio di adozione incrementale, GraphRAG non va aggiunto in via preventiva. Il segnale che ne giustifica l'adozione è concreto e riconoscibile: </w:t>
      </w:r>
      <w:r>
        <w:rPr>
          <w:b/>
          <w:bCs/>
          <w:sz w:val="21"/>
          <w:szCs w:val="21"/>
        </w:rPr>
        <w:t xml:space="preserve">quando si iniziano a porre al sistema domande globali</w:t>
      </w:r>
      <w:r>
        <w:rPr>
          <w:sz w:val="21"/>
          <w:szCs w:val="21"/>
        </w:rPr>
        <w:t xml:space="preserve"> — sui temi ricorrenti, sui collegamenti tra concetti, sui pattern d'insieme — </w:t>
      </w:r>
      <w:r>
        <w:rPr>
          <w:b/>
          <w:bCs/>
          <w:sz w:val="21"/>
          <w:szCs w:val="21"/>
        </w:rPr>
        <w:t xml:space="preserve">e si ricevono risposte frammentarie o incomplete</w:t>
      </w:r>
      <w:r>
        <w:rPr>
          <w:sz w:val="21"/>
          <w:szCs w:val="21"/>
        </w:rPr>
        <w:t xml:space="preserve">. Quello è il limite del recupero vettoriale che si manifesta, e il momento in cui il ragionamento a grafo diventa la risposta appropriata.</w:t>
      </w:r>
    </w:p>
    <w:p>
      <w:pPr>
        <w:pStyle w:val="Heading3"/>
        <w:spacing w:after="70" w:before="180"/>
      </w:pPr>
      <w:r>
        <w:rPr>
          <w:b/>
          <w:bCs/>
          <w:color w:val="2E6E9E"/>
          <w:sz w:val="23"/>
          <w:szCs w:val="23"/>
        </w:rPr>
        <w:t xml:space="preserve">Confronto sintetico</w:t>
      </w:r>
    </w:p>
    <w:tbl>
      <w:tblPr>
        <w:tblW w:type="dxa" w:w="9000"/>
        <w:tblBorders>
          <w:top w:val="single" w:color="B0BCC9" w:sz="2"/>
          <w:left w:val="single" w:color="B0BCC9" w:sz="2"/>
          <w:bottom w:val="single" w:color="B0BCC9" w:sz="2"/>
          <w:right w:val="single" w:color="B0BCC9" w:sz="2"/>
          <w:insideH w:val="single" w:color="C9D3DE" w:sz="2"/>
          <w:insideV w:val="single" w:color="C9D3DE" w:sz="2"/>
        </w:tblBorders>
      </w:tblPr>
      <w:tblGrid>
        <w:gridCol w:w="2600"/>
        <w:gridCol w:w="3200"/>
        <w:gridCol w:w="3200"/>
      </w:tblGrid>
      <w:tr>
        <w:tc>
          <w:tcPr>
            <w:tcW w:type="dxa" w:w="2600"/>
            <w:shd w:fill="6A1B9A" w:color="auto" w:val="clear"/>
            <w:tcMar>
              <w:top w:type="dxa" w:w="70"/>
              <w:left w:type="dxa" w:w="110"/>
              <w:bottom w:type="dxa" w:w="70"/>
              <w:right w:type="dxa" w:w="110"/>
            </w:tcMar>
          </w:tcPr>
          <w:p>
            <w:r>
              <w:rPr>
                <w:b/>
                <w:bCs/>
                <w:color w:val="FFFFFF"/>
                <w:sz w:val="19"/>
                <w:szCs w:val="19"/>
              </w:rPr>
              <w:t xml:space="preserve"/>
            </w:r>
          </w:p>
        </w:tc>
        <w:tc>
          <w:tcPr>
            <w:tcW w:type="dxa" w:w="3200"/>
            <w:shd w:fill="6A1B9A" w:color="auto" w:val="clear"/>
            <w:tcMar>
              <w:top w:type="dxa" w:w="70"/>
              <w:left w:type="dxa" w:w="110"/>
              <w:bottom w:type="dxa" w:w="70"/>
              <w:right w:type="dxa" w:w="110"/>
            </w:tcMar>
          </w:tcPr>
          <w:p>
            <w:r>
              <w:rPr>
                <w:b/>
                <w:bCs/>
                <w:color w:val="FFFFFF"/>
                <w:sz w:val="19"/>
                <w:szCs w:val="19"/>
              </w:rPr>
              <w:t xml:space="preserve">RAG vettoriale</w:t>
            </w:r>
          </w:p>
        </w:tc>
        <w:tc>
          <w:tcPr>
            <w:tcW w:type="dxa" w:w="3200"/>
            <w:shd w:fill="6A1B9A" w:color="auto" w:val="clear"/>
            <w:tcMar>
              <w:top w:type="dxa" w:w="70"/>
              <w:left w:type="dxa" w:w="110"/>
              <w:bottom w:type="dxa" w:w="70"/>
              <w:right w:type="dxa" w:w="110"/>
            </w:tcMar>
          </w:tcPr>
          <w:p>
            <w:r>
              <w:rPr>
                <w:b/>
                <w:bCs/>
                <w:color w:val="FFFFFF"/>
                <w:sz w:val="19"/>
                <w:szCs w:val="19"/>
              </w:rPr>
              <w:t xml:space="preserve">GraphRAG</w:t>
            </w:r>
          </w:p>
        </w:tc>
      </w:tr>
      <w:tr>
        <w:tc>
          <w:tcPr>
            <w:tcW w:type="dxa" w:w="2600"/>
            <w:shd w:fill="EDF2F7" w:color="auto" w:val="clear"/>
            <w:tcMar>
              <w:top w:type="dxa" w:w="70"/>
              <w:left w:type="dxa" w:w="110"/>
              <w:bottom w:type="dxa" w:w="70"/>
              <w:right w:type="dxa" w:w="110"/>
            </w:tcMar>
          </w:tcPr>
          <w:p>
            <w:r>
              <w:rPr>
                <w:b w:val="false"/>
                <w:bCs w:val="false"/>
                <w:color w:val="000000"/>
                <w:sz w:val="19"/>
                <w:szCs w:val="19"/>
              </w:rPr>
              <w:t xml:space="preserve">Domande</w:t>
            </w:r>
          </w:p>
        </w:tc>
        <w:tc>
          <w:tcPr>
            <w:tcW w:type="dxa" w:w="3200"/>
            <w:tcMar>
              <w:top w:type="dxa" w:w="70"/>
              <w:left w:type="dxa" w:w="110"/>
              <w:bottom w:type="dxa" w:w="70"/>
              <w:right w:type="dxa" w:w="110"/>
            </w:tcMar>
          </w:tcPr>
          <w:p>
            <w:r>
              <w:rPr>
                <w:b w:val="false"/>
                <w:bCs w:val="false"/>
                <w:color w:val="000000"/>
                <w:sz w:val="19"/>
                <w:szCs w:val="19"/>
              </w:rPr>
              <w:t xml:space="preserve">Locali</w:t>
            </w:r>
          </w:p>
        </w:tc>
        <w:tc>
          <w:tcPr>
            <w:tcW w:type="dxa" w:w="3200"/>
            <w:tcMar>
              <w:top w:type="dxa" w:w="70"/>
              <w:left w:type="dxa" w:w="110"/>
              <w:bottom w:type="dxa" w:w="70"/>
              <w:right w:type="dxa" w:w="110"/>
            </w:tcMar>
          </w:tcPr>
          <w:p>
            <w:r>
              <w:rPr>
                <w:b w:val="false"/>
                <w:bCs w:val="false"/>
                <w:color w:val="000000"/>
                <w:sz w:val="19"/>
                <w:szCs w:val="19"/>
              </w:rPr>
              <w:t xml:space="preserve">Locali e globali</w:t>
            </w:r>
          </w:p>
        </w:tc>
      </w:tr>
      <w:tr>
        <w:tc>
          <w:tcPr>
            <w:tcW w:type="dxa" w:w="2600"/>
            <w:shd w:fill="EDF2F7" w:color="auto" w:val="clear"/>
            <w:tcMar>
              <w:top w:type="dxa" w:w="70"/>
              <w:left w:type="dxa" w:w="110"/>
              <w:bottom w:type="dxa" w:w="70"/>
              <w:right w:type="dxa" w:w="110"/>
            </w:tcMar>
          </w:tcPr>
          <w:p>
            <w:r>
              <w:rPr>
                <w:b w:val="false"/>
                <w:bCs w:val="false"/>
                <w:color w:val="000000"/>
                <w:sz w:val="19"/>
                <w:szCs w:val="19"/>
              </w:rPr>
              <w:t xml:space="preserve">Meccanismo</w:t>
            </w:r>
          </w:p>
        </w:tc>
        <w:tc>
          <w:tcPr>
            <w:tcW w:type="dxa" w:w="3200"/>
            <w:tcMar>
              <w:top w:type="dxa" w:w="70"/>
              <w:left w:type="dxa" w:w="110"/>
              <w:bottom w:type="dxa" w:w="70"/>
              <w:right w:type="dxa" w:w="110"/>
            </w:tcMar>
          </w:tcPr>
          <w:p>
            <w:r>
              <w:rPr>
                <w:b w:val="false"/>
                <w:bCs w:val="false"/>
                <w:color w:val="000000"/>
                <w:sz w:val="19"/>
                <w:szCs w:val="19"/>
              </w:rPr>
              <w:t xml:space="preserve">Similarità su frammenti</w:t>
            </w:r>
          </w:p>
        </w:tc>
        <w:tc>
          <w:tcPr>
            <w:tcW w:type="dxa" w:w="3200"/>
            <w:tcMar>
              <w:top w:type="dxa" w:w="70"/>
              <w:left w:type="dxa" w:w="110"/>
              <w:bottom w:type="dxa" w:w="70"/>
              <w:right w:type="dxa" w:w="110"/>
            </w:tcMar>
          </w:tcPr>
          <w:p>
            <w:r>
              <w:rPr>
                <w:b w:val="false"/>
                <w:bCs w:val="false"/>
                <w:color w:val="000000"/>
                <w:sz w:val="19"/>
                <w:szCs w:val="19"/>
              </w:rPr>
              <w:t xml:space="preserve">Grafo + riassunti di comunità</w:t>
            </w:r>
          </w:p>
        </w:tc>
      </w:tr>
      <w:tr>
        <w:tc>
          <w:tcPr>
            <w:tcW w:type="dxa" w:w="2600"/>
            <w:shd w:fill="EDF2F7" w:color="auto" w:val="clear"/>
            <w:tcMar>
              <w:top w:type="dxa" w:w="70"/>
              <w:left w:type="dxa" w:w="110"/>
              <w:bottom w:type="dxa" w:w="70"/>
              <w:right w:type="dxa" w:w="110"/>
            </w:tcMar>
          </w:tcPr>
          <w:p>
            <w:r>
              <w:rPr>
                <w:b w:val="false"/>
                <w:bCs w:val="false"/>
                <w:color w:val="000000"/>
                <w:sz w:val="19"/>
                <w:szCs w:val="19"/>
              </w:rPr>
              <w:t xml:space="preserve">Costo indicizzazione</w:t>
            </w:r>
          </w:p>
        </w:tc>
        <w:tc>
          <w:tcPr>
            <w:tcW w:type="dxa" w:w="3200"/>
            <w:tcMar>
              <w:top w:type="dxa" w:w="70"/>
              <w:left w:type="dxa" w:w="110"/>
              <w:bottom w:type="dxa" w:w="70"/>
              <w:right w:type="dxa" w:w="110"/>
            </w:tcMar>
          </w:tcPr>
          <w:p>
            <w:r>
              <w:rPr>
                <w:b w:val="false"/>
                <w:bCs w:val="false"/>
                <w:color w:val="000000"/>
                <w:sz w:val="19"/>
                <w:szCs w:val="19"/>
              </w:rPr>
              <w:t xml:space="preserve">Basso (solo embedding)</w:t>
            </w:r>
          </w:p>
        </w:tc>
        <w:tc>
          <w:tcPr>
            <w:tcW w:type="dxa" w:w="3200"/>
            <w:tcMar>
              <w:top w:type="dxa" w:w="70"/>
              <w:left w:type="dxa" w:w="110"/>
              <w:bottom w:type="dxa" w:w="70"/>
              <w:right w:type="dxa" w:w="110"/>
            </w:tcMar>
          </w:tcPr>
          <w:p>
            <w:r>
              <w:rPr>
                <w:b w:val="false"/>
                <w:bCs w:val="false"/>
                <w:color w:val="000000"/>
                <w:sz w:val="19"/>
                <w:szCs w:val="19"/>
              </w:rPr>
              <w:t xml:space="preserve">Alto (molte chiamate al modello)</w:t>
            </w:r>
          </w:p>
        </w:tc>
      </w:tr>
      <w:tr>
        <w:tc>
          <w:tcPr>
            <w:tcW w:type="dxa" w:w="2600"/>
            <w:shd w:fill="EDF2F7" w:color="auto" w:val="clear"/>
            <w:tcMar>
              <w:top w:type="dxa" w:w="70"/>
              <w:left w:type="dxa" w:w="110"/>
              <w:bottom w:type="dxa" w:w="70"/>
              <w:right w:type="dxa" w:w="110"/>
            </w:tcMar>
          </w:tcPr>
          <w:p>
            <w:r>
              <w:rPr>
                <w:b w:val="false"/>
                <w:bCs w:val="false"/>
                <w:color w:val="000000"/>
                <w:sz w:val="19"/>
                <w:szCs w:val="19"/>
              </w:rPr>
              <w:t xml:space="preserve">Aggiornamento</w:t>
            </w:r>
          </w:p>
        </w:tc>
        <w:tc>
          <w:tcPr>
            <w:tcW w:type="dxa" w:w="3200"/>
            <w:tcMar>
              <w:top w:type="dxa" w:w="70"/>
              <w:left w:type="dxa" w:w="110"/>
              <w:bottom w:type="dxa" w:w="70"/>
              <w:right w:type="dxa" w:w="110"/>
            </w:tcMar>
          </w:tcPr>
          <w:p>
            <w:r>
              <w:rPr>
                <w:b w:val="false"/>
                <w:bCs w:val="false"/>
                <w:color w:val="000000"/>
                <w:sz w:val="19"/>
                <w:szCs w:val="19"/>
              </w:rPr>
              <w:t xml:space="preserve">Semplice</w:t>
            </w:r>
          </w:p>
        </w:tc>
        <w:tc>
          <w:tcPr>
            <w:tcW w:type="dxa" w:w="3200"/>
            <w:tcMar>
              <w:top w:type="dxa" w:w="70"/>
              <w:left w:type="dxa" w:w="110"/>
              <w:bottom w:type="dxa" w:w="70"/>
              <w:right w:type="dxa" w:w="110"/>
            </w:tcMar>
          </w:tcPr>
          <w:p>
            <w:r>
              <w:rPr>
                <w:b w:val="false"/>
                <w:bCs w:val="false"/>
                <w:color w:val="000000"/>
                <w:sz w:val="19"/>
                <w:szCs w:val="19"/>
              </w:rPr>
              <w:t xml:space="preserve">Oneroso (ricostruzione grafo)</w:t>
            </w:r>
          </w:p>
        </w:tc>
      </w:tr>
      <w:tr>
        <w:tc>
          <w:tcPr>
            <w:tcW w:type="dxa" w:w="2600"/>
            <w:shd w:fill="EDF2F7" w:color="auto" w:val="clear"/>
            <w:tcMar>
              <w:top w:type="dxa" w:w="70"/>
              <w:left w:type="dxa" w:w="110"/>
              <w:bottom w:type="dxa" w:w="70"/>
              <w:right w:type="dxa" w:w="110"/>
            </w:tcMar>
          </w:tcPr>
          <w:p>
            <w:r>
              <w:rPr>
                <w:b w:val="false"/>
                <w:bCs w:val="false"/>
                <w:color w:val="000000"/>
                <w:sz w:val="19"/>
                <w:szCs w:val="19"/>
              </w:rPr>
              <w:t xml:space="preserve">Quando</w:t>
            </w:r>
          </w:p>
        </w:tc>
        <w:tc>
          <w:tcPr>
            <w:tcW w:type="dxa" w:w="3200"/>
            <w:tcMar>
              <w:top w:type="dxa" w:w="70"/>
              <w:left w:type="dxa" w:w="110"/>
              <w:bottom w:type="dxa" w:w="70"/>
              <w:right w:type="dxa" w:w="110"/>
            </w:tcMar>
          </w:tcPr>
          <w:p>
            <w:r>
              <w:rPr>
                <w:b w:val="false"/>
                <w:bCs w:val="false"/>
                <w:color w:val="000000"/>
                <w:sz w:val="19"/>
                <w:szCs w:val="19"/>
              </w:rPr>
              <w:t xml:space="preserve">Punto di partenza</w:t>
            </w:r>
          </w:p>
        </w:tc>
        <w:tc>
          <w:tcPr>
            <w:tcW w:type="dxa" w:w="3200"/>
            <w:tcMar>
              <w:top w:type="dxa" w:w="70"/>
              <w:left w:type="dxa" w:w="110"/>
              <w:bottom w:type="dxa" w:w="70"/>
              <w:right w:type="dxa" w:w="110"/>
            </w:tcMar>
          </w:tcPr>
          <w:p>
            <w:r>
              <w:rPr>
                <w:b w:val="false"/>
                <w:bCs w:val="false"/>
                <w:color w:val="000000"/>
                <w:sz w:val="19"/>
                <w:szCs w:val="19"/>
              </w:rPr>
              <w:t xml:space="preserve">Quando servono domande globali</w:t>
            </w:r>
          </w:p>
        </w:tc>
      </w:tr>
    </w:tbl>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Il RAG vettoriale eccelle nelle domande locali ma è cieco alle domande globali.</w:t>
      </w:r>
    </w:p>
    <w:p>
      <w:pPr>
        <w:pStyle w:val="ListParagraph"/>
        <w:numPr>
          <w:ilvl w:val="0"/>
          <w:numId w:val="2"/>
        </w:numPr>
        <w:spacing w:after="60" w:line="280"/>
      </w:pPr>
      <w:r>
        <w:rPr>
          <w:sz w:val="20"/>
          <w:szCs w:val="20"/>
        </w:rPr>
        <w:t xml:space="preserve">GraphRAG costruisce un grafo di entità e relazioni e ne deriva riassunti gerarchici di comunità.</w:t>
      </w:r>
    </w:p>
    <w:p>
      <w:pPr>
        <w:pStyle w:val="ListParagraph"/>
        <w:numPr>
          <w:ilvl w:val="0"/>
          <w:numId w:val="2"/>
        </w:numPr>
        <w:spacing w:after="60" w:line="280"/>
      </w:pPr>
      <w:r>
        <w:rPr>
          <w:sz w:val="20"/>
          <w:szCs w:val="20"/>
        </w:rPr>
        <w:t xml:space="preserve">La pipeline ha quattro passi: estrazione, unificazione del grafo, rilevamento comunità, riassunti gerarchici.</w:t>
      </w:r>
    </w:p>
    <w:p>
      <w:pPr>
        <w:pStyle w:val="ListParagraph"/>
        <w:numPr>
          <w:ilvl w:val="0"/>
          <w:numId w:val="2"/>
        </w:numPr>
        <w:spacing w:after="60" w:line="280"/>
      </w:pPr>
      <w:r>
        <w:rPr>
          <w:sz w:val="20"/>
          <w:szCs w:val="20"/>
        </w:rPr>
        <w:t xml:space="preserve">Il costo è alto in indicizzazione (molte chiamate al modello per chunk e comunità), una tantum ma da pianificare.</w:t>
      </w:r>
    </w:p>
    <w:p>
      <w:pPr>
        <w:pStyle w:val="ListParagraph"/>
        <w:numPr>
          <w:ilvl w:val="0"/>
          <w:numId w:val="2"/>
        </w:numPr>
        <w:spacing w:after="60" w:line="280"/>
      </w:pPr>
      <w:r>
        <w:rPr>
          <w:sz w:val="20"/>
          <w:szCs w:val="20"/>
        </w:rPr>
        <w:t xml:space="preserve">Si adotta quando emergono domande globali a cui il recupero vettoriale risponde male — non prima.</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4"/>
        </w:numPr>
        <w:spacing w:after="90" w:line="284"/>
        <w:jc w:val="both"/>
      </w:pPr>
      <w:r>
        <w:rPr>
          <w:sz w:val="20"/>
          <w:szCs w:val="20"/>
        </w:rPr>
        <w:t xml:space="preserve">Distingui domanda locale e domanda globale con un esempio per ciascuna, tratto da un contesto che conosci.</w:t>
      </w:r>
    </w:p>
    <w:p>
      <w:pPr>
        <w:pStyle w:val="ListParagraph"/>
        <w:numPr>
          <w:ilvl w:val="0"/>
          <w:numId w:val="4"/>
        </w:numPr>
        <w:spacing w:after="90" w:line="284"/>
        <w:jc w:val="both"/>
      </w:pPr>
      <w:r>
        <w:rPr>
          <w:sz w:val="20"/>
          <w:szCs w:val="20"/>
        </w:rPr>
        <w:t xml:space="preserve">Descrivi i quattro passi della pipeline di costruzione di GraphRAG, spiegando cosa produce ciascuno.</w:t>
      </w:r>
    </w:p>
    <w:p>
      <w:pPr>
        <w:pStyle w:val="ListParagraph"/>
        <w:numPr>
          <w:ilvl w:val="0"/>
          <w:numId w:val="4"/>
        </w:numPr>
        <w:spacing w:after="90" w:line="284"/>
        <w:jc w:val="both"/>
      </w:pPr>
      <w:r>
        <w:rPr>
          <w:sz w:val="20"/>
          <w:szCs w:val="20"/>
        </w:rPr>
        <w:t xml:space="preserve">Perché il rilevamento delle comunità è centrale per rispondere alle domande globali? Cosa rappresentano le comunità?</w:t>
      </w:r>
    </w:p>
    <w:p>
      <w:pPr>
        <w:pStyle w:val="ListParagraph"/>
        <w:numPr>
          <w:ilvl w:val="0"/>
          <w:numId w:val="4"/>
        </w:numPr>
        <w:spacing w:after="90" w:line="284"/>
        <w:jc w:val="both"/>
      </w:pPr>
      <w:r>
        <w:rPr>
          <w:sz w:val="20"/>
          <w:szCs w:val="20"/>
        </w:rPr>
        <w:t xml:space="preserve">Spiega da dove nasce il costo elevato dell'indicizzazione di GraphRAG e perché si tratta comunque di un costo «una tantum».</w:t>
      </w:r>
    </w:p>
    <w:p>
      <w:pPr>
        <w:pStyle w:val="ListParagraph"/>
        <w:numPr>
          <w:ilvl w:val="0"/>
          <w:numId w:val="4"/>
        </w:numPr>
        <w:spacing w:after="90" w:line="284"/>
        <w:jc w:val="both"/>
      </w:pPr>
      <w:r>
        <w:rPr>
          <w:sz w:val="20"/>
          <w:szCs w:val="20"/>
        </w:rPr>
        <w:t xml:space="preserve">Formula il criterio concreto che ti indicherebbe che è arrivato il momento di adottare GraphRAG nel tuo stack.</w:t>
      </w:r>
    </w:p>
    <w:p>
      <w:r>
        <w:br w:type="page"/>
      </w:r>
    </w:p>
    <w:p>
      <w:pPr>
        <w:spacing w:after="40" w:before="200"/>
      </w:pPr>
      <w:r>
        <w:rPr>
          <w:b/>
          <w:bCs/>
          <w:color w:val="2E6E9E"/>
          <w:spacing w:val="60"/>
          <w:sz w:val="22"/>
          <w:szCs w:val="22"/>
        </w:rPr>
        <w:t xml:space="preserve">APPENDICE C</w:t>
      </w:r>
    </w:p>
    <w:p>
      <w:pPr>
        <w:pStyle w:val="Heading1"/>
        <w:pBdr>
          <w:bottom w:val="single" w:color="1F3A5F" w:sz="12" w:space="6"/>
        </w:pBdr>
        <w:spacing w:after="60"/>
      </w:pPr>
      <w:r>
        <w:rPr>
          <w:b/>
          <w:bCs/>
          <w:color w:val="1A2332"/>
          <w:sz w:val="34"/>
          <w:szCs w:val="34"/>
        </w:rPr>
        <w:t xml:space="preserve">L'imbracatura di affidabilità (Harness Engineering)</w:t>
      </w:r>
    </w:p>
    <w:p>
      <w:pPr>
        <w:spacing w:after="180"/>
      </w:pPr>
      <w:r>
        <w:rPr>
          <w:sz w:val="8"/>
          <w:szCs w:val="8"/>
        </w:rPr>
        <w:t xml:space="preserve"/>
      </w:r>
    </w:p>
    <w:p>
      <w:pPr>
        <w:spacing w:after="120" w:line="290"/>
        <w:jc w:val="both"/>
      </w:pPr>
      <w:r>
        <w:rPr>
          <w:sz w:val="21"/>
          <w:szCs w:val="21"/>
        </w:rPr>
        <w:t xml:space="preserve">Le appendici precedenti hanno esteso singoli livelli dello stack. Questa cambia prospettiva: invece di guardare il sistema per </w:t>
      </w:r>
      <w:r>
        <w:rPr>
          <w:i/>
          <w:iCs/>
          <w:sz w:val="21"/>
          <w:szCs w:val="21"/>
        </w:rPr>
        <w:t xml:space="preserve">livelli architetturali</w:t>
      </w:r>
      <w:r>
        <w:rPr>
          <w:sz w:val="21"/>
          <w:szCs w:val="21"/>
        </w:rPr>
        <w:t xml:space="preserve"> (cosa lo compone), lo guarda per </w:t>
      </w:r>
      <w:r>
        <w:rPr>
          <w:i/>
          <w:iCs/>
          <w:sz w:val="21"/>
          <w:szCs w:val="21"/>
        </w:rPr>
        <w:t xml:space="preserve">flusso di affidabilità</w:t>
      </w:r>
      <w:r>
        <w:rPr>
          <w:sz w:val="21"/>
          <w:szCs w:val="21"/>
        </w:rPr>
        <w:t xml:space="preserve"> (come una richiesta lo attraversa in sicurezza). È la vista che risponde alla domanda: «cosa rende un LLM affidabile abbastanza da fidarsene?».</w:t>
      </w:r>
    </w:p>
    <w:p>
      <w:pPr>
        <w:pStyle w:val="Heading2"/>
        <w:spacing w:after="100" w:before="240"/>
      </w:pPr>
      <w:r>
        <w:rPr>
          <w:b/>
          <w:bCs/>
          <w:color w:val="1F3A5F"/>
          <w:sz w:val="27"/>
          <w:szCs w:val="27"/>
        </w:rPr>
        <w:t xml:space="preserve">C.1 La tesi centrale: il valore è attorno al modello</w:t>
      </w:r>
    </w:p>
    <w:p>
      <w:pPr>
        <w:spacing w:after="120" w:line="290"/>
        <w:jc w:val="both"/>
      </w:pPr>
      <w:r>
        <w:rPr>
          <w:sz w:val="21"/>
          <w:szCs w:val="21"/>
        </w:rPr>
        <w:t xml:space="preserve">Un'osservazione contro-intuitiva ma fondamentale: in un sistema ben progettato, l'LLM è un </w:t>
      </w:r>
      <w:r>
        <w:rPr>
          <w:b/>
          <w:bCs/>
          <w:sz w:val="21"/>
          <w:szCs w:val="21"/>
        </w:rPr>
        <w:t xml:space="preserve">singolo componente</w:t>
      </w:r>
      <w:r>
        <w:rPr>
          <w:sz w:val="21"/>
          <w:szCs w:val="21"/>
        </w:rPr>
        <w:t xml:space="preserve"> fra molti. Tutto ciò che lo circonda — la costruzione del contesto, il controllo delle azioni, l'esecuzione guidata, la verifica, il monitoraggio — costituisce l'«imbracatura» che trasforma un modello imprevedibile in un sistema affidabile.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Harness Engineering (ingegneria dell'imbracatura)</w:t>
      </w:r>
      <w:r>
        <w:rPr>
          <w:color w:val="1A2332"/>
          <w:sz w:val="20"/>
          <w:szCs w:val="20"/>
        </w:rPr>
        <w:br/>
        <w:t xml:space="preserve">L'insieme delle componenti e dei controlli che circondano un LLM per renderne l'uso affidabile, ripetibile e sicuro: costruzione del contesto, controllo delle azioni tramite policy, esecuzione guidata, verifica degli output, osservabilità trasversale e cicli di feedback. È lo «strato di affidabilità» attorno al modello.</w:t>
      </w:r>
    </w:p>
    <w:p>
      <w:pPr>
        <w:spacing w:after="120" w:line="290"/>
        <w:jc w:val="both"/>
      </w:pPr>
      <w:r>
        <w:rPr>
          <w:sz w:val="21"/>
          <w:szCs w:val="21"/>
        </w:rPr>
        <w:t xml:space="preserve">Il nome «imbracatura» (harness) è evocativo: come l'imbracatura di sicurezza di un alpinista non scala la montagna al suo posto ma ne rende sicura la salita, così l'harness non «ragiona» al posto dell'LLM, ma rende affidabile il suo operato.</w:t>
      </w:r>
    </w:p>
    <w:p>
      <w:pPr>
        <w:pStyle w:val="Heading2"/>
        <w:spacing w:after="100" w:before="240"/>
      </w:pPr>
      <w:r>
        <w:rPr>
          <w:b/>
          <w:bCs/>
          <w:color w:val="1F3A5F"/>
          <w:sz w:val="27"/>
          <w:szCs w:val="27"/>
        </w:rPr>
        <w:t xml:space="preserve">C.2 Il flusso di affidabilità in sei stadi</w:t>
      </w:r>
    </w:p>
    <w:p>
      <w:pPr>
        <w:spacing w:after="120" w:line="290"/>
        <w:jc w:val="both"/>
      </w:pPr>
      <w:r>
        <w:rPr>
          <w:sz w:val="21"/>
          <w:szCs w:val="21"/>
        </w:rPr>
        <w:t xml:space="preserve">Una richiesta ben governata attraversa una sequenza di stadi, ciascuno con un ruolo preciso. Li descriviamo nell'ordine in cui la richiesta li incontra. Il diagramma seguente ne offre la visione d'insieme.</w:t>
      </w:r>
    </w:p>
    <w:p>
      <w:pPr>
        <w:spacing w:after="40" w:before="120"/>
        <w:jc w:val="center"/>
      </w:pPr>
      <w:r>
        <w:drawing>
          <wp:inline distT="0" distB="0" distL="0" distR="0">
            <wp:extent cx="49530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581650"/>
                    </a:xfrm>
                    <a:prstGeom prst="rect">
                      <a:avLst/>
                    </a:prstGeom>
                  </pic:spPr>
                </pic:pic>
              </a:graphicData>
            </a:graphic>
          </wp:inline>
        </w:drawing>
      </w:r>
    </w:p>
    <w:p>
      <w:pPr>
        <w:spacing w:after="160"/>
        <w:jc w:val="center"/>
      </w:pPr>
      <w:r>
        <w:rPr>
          <w:i/>
          <w:iCs/>
          <w:color w:val="4A5260"/>
          <w:sz w:val="17"/>
          <w:szCs w:val="17"/>
        </w:rPr>
        <w:t xml:space="preserve">Figura C.1 — Il flusso di affidabilità attorno all'LLM (schema originale).</w:t>
      </w:r>
    </w:p>
    <w:p>
      <w:pPr>
        <w:pStyle w:val="Heading3"/>
        <w:spacing w:after="70" w:before="180"/>
      </w:pPr>
      <w:r>
        <w:rPr>
          <w:b/>
          <w:bCs/>
          <w:color w:val="2E6E9E"/>
          <w:sz w:val="23"/>
          <w:szCs w:val="23"/>
        </w:rPr>
        <w:t xml:space="preserve">C.2.1 Context Builder — costruzione del contesto</w:t>
      </w:r>
    </w:p>
    <w:p>
      <w:pPr>
        <w:spacing w:after="120" w:line="290"/>
        <w:jc w:val="both"/>
      </w:pPr>
      <w:r>
        <w:rPr>
          <w:sz w:val="21"/>
          <w:szCs w:val="21"/>
        </w:rPr>
        <w:t xml:space="preserve">Il primo stadio raccoglie ciò che serve al modello per ragionare su basi solide: documenti (via RAG), dati di stato aggiornati e cronologia rilevante. È il </w:t>
      </w:r>
      <w:r>
        <w:rPr>
          <w:b/>
          <w:bCs/>
          <w:sz w:val="21"/>
          <w:szCs w:val="21"/>
        </w:rPr>
        <w:t xml:space="preserve">grounding</w:t>
      </w:r>
      <w:r>
        <w:rPr>
          <w:sz w:val="21"/>
          <w:szCs w:val="21"/>
        </w:rPr>
        <w:t xml:space="preserve">: ancorare la richiesta a fatti reali prima che il modello la elabori. Corrisponde ai livelli L2 e al RAG del manuale.</w:t>
      </w:r>
    </w:p>
    <w:p>
      <w:pPr>
        <w:pStyle w:val="Heading3"/>
        <w:spacing w:after="70" w:before="180"/>
      </w:pPr>
      <w:r>
        <w:rPr>
          <w:b/>
          <w:bCs/>
          <w:color w:val="2E6E9E"/>
          <w:sz w:val="23"/>
          <w:szCs w:val="23"/>
        </w:rPr>
        <w:t xml:space="preserve">C.2.2 LLM — ragionamento</w:t>
      </w:r>
    </w:p>
    <w:p>
      <w:pPr>
        <w:spacing w:after="120" w:line="290"/>
        <w:jc w:val="both"/>
      </w:pPr>
      <w:r>
        <w:rPr>
          <w:sz w:val="21"/>
          <w:szCs w:val="21"/>
        </w:rPr>
        <w:t xml:space="preserve">Il secondo stadio è il modello stesso, che riceve l'input ancorato e propone una risposta o un'azione. È il cuore, ma — ed è il punto della tesi — è </w:t>
      </w:r>
      <w:r>
        <w:rPr>
          <w:b/>
          <w:bCs/>
          <w:sz w:val="21"/>
          <w:szCs w:val="21"/>
        </w:rPr>
        <w:t xml:space="preserve">solo uno stadio su sei</w:t>
      </w:r>
      <w:r>
        <w:rPr>
          <w:sz w:val="21"/>
          <w:szCs w:val="21"/>
        </w:rPr>
        <w:t xml:space="preserve">.</w:t>
      </w:r>
    </w:p>
    <w:p>
      <w:pPr>
        <w:pStyle w:val="Heading3"/>
        <w:spacing w:after="70" w:before="180"/>
      </w:pPr>
      <w:r>
        <w:rPr>
          <w:b/>
          <w:bCs/>
          <w:color w:val="2E6E9E"/>
          <w:sz w:val="23"/>
          <w:szCs w:val="23"/>
        </w:rPr>
        <w:t xml:space="preserve">C.2.3 Policy Gate — il cancello delle politiche</w:t>
      </w:r>
    </w:p>
    <w:p>
      <w:pPr>
        <w:spacing w:after="120" w:line="290"/>
        <w:jc w:val="both"/>
      </w:pPr>
      <w:r>
        <w:rPr>
          <w:sz w:val="21"/>
          <w:szCs w:val="21"/>
        </w:rPr>
        <w:t xml:space="preserve">Il terzo stadio intercetta l'azione proposta dal modello e decide se consentirla o bloccarla, in base a regole e permessi prestabiliti. È il punto in cui la volontà del modello incontra i vincoli imposti dall'organizzazione. Corrisponde al motore dei permessi del Capitolo 7.</w:t>
      </w:r>
    </w:p>
    <w:p>
      <w:pPr>
        <w:pStyle w:val="Heading3"/>
        <w:spacing w:after="70" w:before="180"/>
      </w:pPr>
      <w:r>
        <w:rPr>
          <w:b/>
          <w:bCs/>
          <w:color w:val="2E6E9E"/>
          <w:sz w:val="23"/>
          <w:szCs w:val="23"/>
        </w:rPr>
        <w:t xml:space="preserve">C.2.4 Tools / Runtime — esecuzione guidata</w:t>
      </w:r>
    </w:p>
    <w:p>
      <w:pPr>
        <w:spacing w:after="120" w:line="290"/>
        <w:jc w:val="both"/>
      </w:pPr>
      <w:r>
        <w:rPr>
          <w:sz w:val="21"/>
          <w:szCs w:val="21"/>
        </w:rPr>
        <w:t xml:space="preserve">Il quarto stadio esegue le azioni approvate attraverso strumenti esterni (interrogazioni, API, servizi). L'esecuzione è «guidata»: avviene solo entro i confini che il cancello delle politiche ha autorizzato. Corrisponde al tool calling del Capitolo 7.</w:t>
      </w:r>
    </w:p>
    <w:p>
      <w:pPr>
        <w:pStyle w:val="Heading3"/>
        <w:spacing w:after="70" w:before="180"/>
      </w:pPr>
      <w:r>
        <w:rPr>
          <w:b/>
          <w:bCs/>
          <w:color w:val="2E6E9E"/>
          <w:sz w:val="23"/>
          <w:szCs w:val="23"/>
        </w:rPr>
        <w:t xml:space="preserve">C.2.5 Verify — verifica</w:t>
      </w:r>
    </w:p>
    <w:p>
      <w:pPr>
        <w:spacing w:after="120" w:line="290"/>
        <w:jc w:val="both"/>
      </w:pPr>
      <w:r>
        <w:rPr>
          <w:sz w:val="21"/>
          <w:szCs w:val="21"/>
        </w:rPr>
        <w:t xml:space="preserve">Il quinto stadio controlla l'esito: test, validazioni, controlli di coerenza. Un risultato non verificato non è un risultato affidabile. È qui che il sistema distingue un output «prodotto» da un output «accettabile».</w:t>
      </w:r>
    </w:p>
    <w:p>
      <w:pPr>
        <w:pStyle w:val="Heading3"/>
        <w:spacing w:after="70" w:before="180"/>
      </w:pPr>
      <w:r>
        <w:rPr>
          <w:b/>
          <w:bCs/>
          <w:color w:val="2E6E9E"/>
          <w:sz w:val="23"/>
          <w:szCs w:val="23"/>
        </w:rPr>
        <w:t xml:space="preserve">C.2.6 Accepted Result — risultato accettato</w:t>
      </w:r>
    </w:p>
    <w:p>
      <w:pPr>
        <w:spacing w:after="120" w:line="290"/>
        <w:jc w:val="both"/>
      </w:pPr>
      <w:r>
        <w:rPr>
          <w:sz w:val="21"/>
          <w:szCs w:val="21"/>
        </w:rPr>
        <w:t xml:space="preserve">Solo ciò che supera la verifica diventa risultato finale: </w:t>
      </w:r>
      <w:r>
        <w:rPr>
          <w:i/>
          <w:iCs/>
          <w:sz w:val="21"/>
          <w:szCs w:val="21"/>
        </w:rPr>
        <w:t xml:space="preserve">limitato e controllato</w:t>
      </w:r>
      <w:r>
        <w:rPr>
          <w:sz w:val="21"/>
          <w:szCs w:val="21"/>
        </w:rPr>
        <w:t xml:space="preserve">. Il termine chiave è «bounded»: l'output è entro confini noti, non un prodotto arbitrario del modello.</w:t>
      </w:r>
    </w:p>
    <w:p>
      <w:pPr>
        <w:pStyle w:val="Heading2"/>
        <w:spacing w:after="100" w:before="240"/>
      </w:pPr>
      <w:r>
        <w:rPr>
          <w:b/>
          <w:bCs/>
          <w:color w:val="1F3A5F"/>
          <w:sz w:val="27"/>
          <w:szCs w:val="27"/>
        </w:rPr>
        <w:t xml:space="preserve">C.3 Le due componenti trasversali</w:t>
      </w:r>
    </w:p>
    <w:p>
      <w:pPr>
        <w:spacing w:after="120" w:line="290"/>
        <w:jc w:val="both"/>
      </w:pPr>
      <w:r>
        <w:rPr>
          <w:sz w:val="21"/>
          <w:szCs w:val="21"/>
        </w:rPr>
        <w:t xml:space="preserve">Oltre ai sei stadi in sequenza, due componenti agiscono </w:t>
      </w:r>
      <w:r>
        <w:rPr>
          <w:b/>
          <w:bCs/>
          <w:sz w:val="21"/>
          <w:szCs w:val="21"/>
        </w:rPr>
        <w:t xml:space="preserve">trasversalmente</w:t>
      </w:r>
      <w:r>
        <w:rPr>
          <w:sz w:val="21"/>
          <w:szCs w:val="21"/>
        </w:rPr>
        <w:t xml:space="preserve">, su tutti gli stadi. Sono le più trascurate e, non a caso, quelle che distinguono un sistema maturo da un prototipo.</w:t>
      </w:r>
    </w:p>
    <w:p>
      <w:pPr>
        <w:pStyle w:val="Heading3"/>
        <w:spacing w:after="70" w:before="180"/>
      </w:pPr>
      <w:r>
        <w:rPr>
          <w:b/>
          <w:bCs/>
          <w:color w:val="2E6E9E"/>
          <w:sz w:val="23"/>
          <w:szCs w:val="23"/>
        </w:rPr>
        <w:t xml:space="preserve">C.3.1 Constraints — i vincoli</w:t>
      </w:r>
    </w:p>
    <w:p>
      <w:pPr>
        <w:spacing w:after="120" w:line="290"/>
        <w:jc w:val="both"/>
      </w:pPr>
      <w:r>
        <w:rPr>
          <w:sz w:val="21"/>
          <w:szCs w:val="21"/>
        </w:rPr>
        <w:t xml:space="preserve">Regole e permessi che alimentano il cancello delle politiche e limitano l'esecuzione. Non sono un singolo stadio: </w:t>
      </w:r>
      <w:r>
        <w:rPr>
          <w:i/>
          <w:iCs/>
          <w:sz w:val="21"/>
          <w:szCs w:val="21"/>
        </w:rPr>
        <w:t xml:space="preserve">informano</w:t>
      </w:r>
      <w:r>
        <w:rPr>
          <w:sz w:val="21"/>
          <w:szCs w:val="21"/>
        </w:rPr>
        <w:t xml:space="preserve"> più stadi contemporaneamente, definendo cosa il sistema può e non può fare.</w:t>
      </w:r>
    </w:p>
    <w:p>
      <w:pPr>
        <w:pStyle w:val="Heading3"/>
        <w:spacing w:after="70" w:before="180"/>
      </w:pPr>
      <w:r>
        <w:rPr>
          <w:b/>
          <w:bCs/>
          <w:color w:val="2E6E9E"/>
          <w:sz w:val="23"/>
          <w:szCs w:val="23"/>
        </w:rPr>
        <w:t xml:space="preserve">C.3.2 Observability — l'osservabilità</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Osservabilità (observability)</w:t>
      </w:r>
      <w:r>
        <w:rPr>
          <w:color w:val="1A2332"/>
          <w:sz w:val="20"/>
          <w:szCs w:val="20"/>
        </w:rPr>
        <w:br/>
        <w:t xml:space="preserve">La capacità di un sistema di rendere visibile il proprio funzionamento interno attraverso tracce (il percorso di ogni richiesta), metriche (misure quantitative di prestazione) e registrazione degli errori, in modo da poter diagnosticare cosa accade a ogni stadio.</w:t>
      </w:r>
    </w:p>
    <w:p>
      <w:pPr>
        <w:spacing w:after="120" w:line="290"/>
        <w:jc w:val="both"/>
      </w:pPr>
      <w:r>
        <w:rPr>
          <w:sz w:val="21"/>
          <w:szCs w:val="21"/>
        </w:rPr>
        <w:t xml:space="preserve">L'osservabilità «osserva ogni stadio»: traccia il percorso di ogni richiesta, misura le prestazioni, cattura gli errori. È ciò che trasforma un sistema che «funziona» in uno di cui si </w:t>
      </w:r>
      <w:r>
        <w:rPr>
          <w:i/>
          <w:iCs/>
          <w:sz w:val="21"/>
          <w:szCs w:val="21"/>
        </w:rPr>
        <w:t xml:space="preserve">sa perché</w:t>
      </w:r>
      <w:r>
        <w:rPr>
          <w:sz w:val="21"/>
          <w:szCs w:val="21"/>
        </w:rPr>
        <w:t xml:space="preserve"> funziona — o perché ha fallito. Senza osservabilità, un guasto è un mistero; con essa, è un punto preciso nel flusso.</w:t>
      </w:r>
    </w:p>
    <w:p>
      <w:pPr>
        <w:pBdr>
          <w:left w:val="single" w:color="E65100" w:sz="24" w:space="10"/>
        </w:pBdr>
        <w:shd w:fill="FDF3E7" w:color="auto" w:val="clear"/>
        <w:spacing w:after="120" w:before="80"/>
      </w:pPr>
      <w:r>
        <w:rPr>
          <w:b/>
          <w:bCs/>
          <w:color w:val="E65100"/>
          <w:sz w:val="19"/>
          <w:szCs w:val="19"/>
        </w:rPr>
        <w:t xml:space="preserve">Avvertenza. </w:t>
      </w:r>
      <w:r>
        <w:rPr>
          <w:color w:val="1A2332"/>
          <w:sz w:val="19"/>
          <w:szCs w:val="19"/>
        </w:rPr>
        <w:t xml:space="preserve">L'osservabilità è la lacuna più comune negli stack costruiti da zero, incluso quello del manuale nella sua forma base. Aggiungere logging e tracciamento — anche semplici, come registrare ogni chiamata al modello, ogni azione dell'agente e ogni esito di verifica — è il primo passo per rendere il sistema diagnosticabile e verificabile a posteriori (utile anche per la conformità).</w:t>
      </w:r>
    </w:p>
    <w:p>
      <w:pPr>
        <w:pStyle w:val="Heading2"/>
        <w:spacing w:after="100" w:before="240"/>
      </w:pPr>
      <w:r>
        <w:rPr>
          <w:b/>
          <w:bCs/>
          <w:color w:val="1F3A5F"/>
          <w:sz w:val="27"/>
          <w:szCs w:val="27"/>
        </w:rPr>
        <w:t xml:space="preserve">C.4 Il ciclo di feedback</w:t>
      </w:r>
    </w:p>
    <w:p>
      <w:pPr>
        <w:spacing w:after="120" w:line="290"/>
        <w:jc w:val="both"/>
      </w:pPr>
      <w:r>
        <w:rPr>
          <w:sz w:val="21"/>
          <w:szCs w:val="21"/>
        </w:rPr>
        <w:t xml:space="preserve">Un ultimo elemento distingue un harness maturo: la verifica non è un capolinea, ma </w:t>
      </w:r>
      <w:r>
        <w:rPr>
          <w:b/>
          <w:bCs/>
          <w:sz w:val="21"/>
          <w:szCs w:val="21"/>
        </w:rPr>
        <w:t xml:space="preserve">ri-alimenta</w:t>
      </w:r>
      <w:r>
        <w:rPr>
          <w:sz w:val="21"/>
          <w:szCs w:val="21"/>
        </w:rPr>
        <w:t xml:space="preserve"> il sistema. I segnali che emergono dalla verifica (un test fallito, un'anomalia) tornano indietro al costruttore del contesto, chiudendo un anello. Il sistema non solo produce: </w:t>
      </w:r>
      <w:r>
        <w:rPr>
          <w:i/>
          <w:iCs/>
          <w:sz w:val="21"/>
          <w:szCs w:val="21"/>
        </w:rPr>
        <w:t xml:space="preserve">impara dai propri esiti</w:t>
      </w:r>
      <w:r>
        <w:rPr>
          <w:sz w:val="21"/>
          <w:szCs w:val="21"/>
        </w:rPr>
        <w:t xml:space="preserve">, almeno nel senso di correggere il tiro.</w:t>
      </w:r>
    </w:p>
    <w:p>
      <w:pPr>
        <w:spacing w:after="40" w:before="120"/>
      </w:pPr>
      <w:r>
        <w:rPr>
          <w:b/>
          <w:bCs/>
          <w:color w:val="1565C0"/>
          <w:sz w:val="20"/>
          <w:szCs w:val="20"/>
        </w:rPr>
        <w:t xml:space="preserve">Esempio — dal flusso lineare all'anello di affidabilità</w:t>
      </w:r>
    </w:p>
    <w:p>
      <w:pPr>
        <w:spacing w:after="120" w:line="288"/>
        <w:ind w:left="200"/>
        <w:jc w:val="both"/>
      </w:pPr>
      <w:r>
        <w:rPr>
          <w:sz w:val="21"/>
          <w:szCs w:val="21"/>
        </w:rPr>
        <w:t xml:space="preserve">Un sistema base è lineare: contesto, modello, azione, risposta. Un harness maturo chiude l'anello: se la verifica rileva che l'azione non ha prodotto l'esito atteso, questo segnale rientra nel contesto della richiesta successiva, che parte così meglio informata. L'affidabilità non è garantita da un singolo controllo, ma dalla ripetizione di un ciclo che si autocorregge.</w:t>
      </w:r>
    </w:p>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L'Harness Engineering guarda il sistema per flusso di affidabilità, non per livelli: è la vista complementare al manuale.</w:t>
      </w:r>
    </w:p>
    <w:p>
      <w:pPr>
        <w:pStyle w:val="ListParagraph"/>
        <w:numPr>
          <w:ilvl w:val="0"/>
          <w:numId w:val="2"/>
        </w:numPr>
        <w:spacing w:after="60" w:line="280"/>
      </w:pPr>
      <w:r>
        <w:rPr>
          <w:sz w:val="20"/>
          <w:szCs w:val="20"/>
        </w:rPr>
        <w:t xml:space="preserve">Tesi centrale: il valore è attorno al modello. L'LLM è uno stadio su sei.</w:t>
      </w:r>
    </w:p>
    <w:p>
      <w:pPr>
        <w:pStyle w:val="ListParagraph"/>
        <w:numPr>
          <w:ilvl w:val="0"/>
          <w:numId w:val="2"/>
        </w:numPr>
        <w:spacing w:after="60" w:line="280"/>
      </w:pPr>
      <w:r>
        <w:rPr>
          <w:sz w:val="20"/>
          <w:szCs w:val="20"/>
        </w:rPr>
        <w:t xml:space="preserve">I sei stadi: costruzione contesto → LLM → cancello politiche → esecuzione guidata → verifica → risultato accettato.</w:t>
      </w:r>
    </w:p>
    <w:p>
      <w:pPr>
        <w:pStyle w:val="ListParagraph"/>
        <w:numPr>
          <w:ilvl w:val="0"/>
          <w:numId w:val="2"/>
        </w:numPr>
        <w:spacing w:after="60" w:line="280"/>
      </w:pPr>
      <w:r>
        <w:rPr>
          <w:sz w:val="20"/>
          <w:szCs w:val="20"/>
        </w:rPr>
        <w:t xml:space="preserve">Due componenti trasversali: vincoli (informano più stadi) e osservabilità (traccia ogni stadio).</w:t>
      </w:r>
    </w:p>
    <w:p>
      <w:pPr>
        <w:pStyle w:val="ListParagraph"/>
        <w:numPr>
          <w:ilvl w:val="0"/>
          <w:numId w:val="2"/>
        </w:numPr>
        <w:spacing w:after="60" w:line="280"/>
      </w:pPr>
      <w:r>
        <w:rPr>
          <w:sz w:val="20"/>
          <w:szCs w:val="20"/>
        </w:rPr>
        <w:t xml:space="preserve">L'osservabilità è la lacuna tipica degli stack fatti da zero: aggiungere tracce e log è il primo passo verso un sistema diagnosticabile.</w:t>
      </w:r>
    </w:p>
    <w:p>
      <w:pPr>
        <w:pStyle w:val="ListParagraph"/>
        <w:numPr>
          <w:ilvl w:val="0"/>
          <w:numId w:val="2"/>
        </w:numPr>
        <w:spacing w:after="60" w:line="280"/>
      </w:pPr>
      <w:r>
        <w:rPr>
          <w:sz w:val="20"/>
          <w:szCs w:val="20"/>
        </w:rPr>
        <w:t xml:space="preserve">Un harness maturo chiude il ciclo: la verifica ri-alimenta il contesto.</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5"/>
        </w:numPr>
        <w:spacing w:after="90" w:line="284"/>
        <w:jc w:val="both"/>
      </w:pPr>
      <w:r>
        <w:rPr>
          <w:sz w:val="20"/>
          <w:szCs w:val="20"/>
        </w:rPr>
        <w:t xml:space="preserve">Spiega la tesi «il valore è attorno al modello» facendo riferimento al numero di stadi in cui l'LLM è coinvolto.</w:t>
      </w:r>
    </w:p>
    <w:p>
      <w:pPr>
        <w:pStyle w:val="ListParagraph"/>
        <w:numPr>
          <w:ilvl w:val="0"/>
          <w:numId w:val="5"/>
        </w:numPr>
        <w:spacing w:after="90" w:line="284"/>
        <w:jc w:val="both"/>
      </w:pPr>
      <w:r>
        <w:rPr>
          <w:sz w:val="20"/>
          <w:szCs w:val="20"/>
        </w:rPr>
        <w:t xml:space="preserve">Elenca i sei stadi del flusso di affidabilità e, per ciascuno, indica il livello o il concetto corrispondente nel manuale.</w:t>
      </w:r>
    </w:p>
    <w:p>
      <w:pPr>
        <w:pStyle w:val="ListParagraph"/>
        <w:numPr>
          <w:ilvl w:val="0"/>
          <w:numId w:val="5"/>
        </w:numPr>
        <w:spacing w:after="90" w:line="284"/>
        <w:jc w:val="both"/>
      </w:pPr>
      <w:r>
        <w:rPr>
          <w:sz w:val="20"/>
          <w:szCs w:val="20"/>
        </w:rPr>
        <w:t xml:space="preserve">Perché vincoli e osservabilità sono descritti come componenti «trasversali» e non come stadi?</w:t>
      </w:r>
    </w:p>
    <w:p>
      <w:pPr>
        <w:pStyle w:val="ListParagraph"/>
        <w:numPr>
          <w:ilvl w:val="0"/>
          <w:numId w:val="5"/>
        </w:numPr>
        <w:spacing w:after="90" w:line="284"/>
        <w:jc w:val="both"/>
      </w:pPr>
      <w:r>
        <w:rPr>
          <w:sz w:val="20"/>
          <w:szCs w:val="20"/>
        </w:rPr>
        <w:t xml:space="preserve">Cos'è l'osservabilità e perché è definita la lacuna più comune degli stack costruiti da zero?</w:t>
      </w:r>
    </w:p>
    <w:p>
      <w:pPr>
        <w:pStyle w:val="ListParagraph"/>
        <w:numPr>
          <w:ilvl w:val="0"/>
          <w:numId w:val="5"/>
        </w:numPr>
        <w:spacing w:after="90" w:line="284"/>
        <w:jc w:val="both"/>
      </w:pPr>
      <w:r>
        <w:rPr>
          <w:sz w:val="20"/>
          <w:szCs w:val="20"/>
        </w:rPr>
        <w:t xml:space="preserve">Descrivi il ciclo di feedback e spiega come trasforma un flusso lineare in un anello di affidabilità.</w:t>
      </w:r>
    </w:p>
    <w:p>
      <w:r>
        <w:br w:type="page"/>
      </w:r>
    </w:p>
    <w:p>
      <w:pPr>
        <w:spacing w:after="40" w:before="200"/>
      </w:pPr>
      <w:r>
        <w:rPr>
          <w:b/>
          <w:bCs/>
          <w:color w:val="2E6E9E"/>
          <w:spacing w:val="60"/>
          <w:sz w:val="22"/>
          <w:szCs w:val="22"/>
        </w:rPr>
        <w:t xml:space="preserve">APPENDICE D</w:t>
      </w:r>
    </w:p>
    <w:p>
      <w:pPr>
        <w:pStyle w:val="Heading1"/>
        <w:pBdr>
          <w:bottom w:val="single" w:color="1F3A5F" w:sz="12" w:space="6"/>
        </w:pBdr>
        <w:spacing w:after="60"/>
      </w:pPr>
      <w:r>
        <w:rPr>
          <w:b/>
          <w:bCs/>
          <w:color w:val="1A2332"/>
          <w:sz w:val="34"/>
          <w:szCs w:val="34"/>
        </w:rPr>
        <w:t xml:space="preserve">Adattare il modello: fine-tuning, LoRA e QLoRA</w:t>
      </w:r>
    </w:p>
    <w:p>
      <w:pPr>
        <w:spacing w:after="180"/>
      </w:pPr>
      <w:r>
        <w:rPr>
          <w:sz w:val="8"/>
          <w:szCs w:val="8"/>
        </w:rPr>
        <w:t xml:space="preserve"/>
      </w:r>
    </w:p>
    <w:p>
      <w:pPr>
        <w:spacing w:after="120" w:line="290"/>
        <w:jc w:val="both"/>
      </w:pPr>
      <w:r>
        <w:rPr>
          <w:sz w:val="21"/>
          <w:szCs w:val="21"/>
        </w:rPr>
        <w:t xml:space="preserve">Tutte le tecniche viste finora — RAG, memoria, grafo, harness — condividono un tratto: </w:t>
      </w:r>
      <w:r>
        <w:rPr>
          <w:b/>
          <w:bCs/>
          <w:sz w:val="21"/>
          <w:szCs w:val="21"/>
        </w:rPr>
        <w:t xml:space="preserve">non modificano il modello</w:t>
      </w:r>
      <w:r>
        <w:rPr>
          <w:sz w:val="21"/>
          <w:szCs w:val="21"/>
        </w:rPr>
        <w:t xml:space="preserve">. Lo usano, lo circondano, lo alimentano, ma i suoi parametri restano intatti. Questa appendice esplora l'approccio opposto e complementare: </w:t>
      </w:r>
      <w:r>
        <w:rPr>
          <w:i/>
          <w:iCs/>
          <w:sz w:val="21"/>
          <w:szCs w:val="21"/>
        </w:rPr>
        <w:t xml:space="preserve">modificare il modello stesso</w:t>
      </w:r>
      <w:r>
        <w:rPr>
          <w:sz w:val="21"/>
          <w:szCs w:val="21"/>
        </w:rPr>
        <w:t xml:space="preserve"> perché assorba un dominio o uno stile. È il ritorno, dopo tante appendici sull'inferenza, alla fase di addestramento introdotta nel Capitolo 2.</w:t>
      </w:r>
    </w:p>
    <w:p>
      <w:pPr>
        <w:pStyle w:val="Heading2"/>
        <w:spacing w:after="100" w:before="240"/>
      </w:pPr>
      <w:r>
        <w:rPr>
          <w:b/>
          <w:bCs/>
          <w:color w:val="1F3A5F"/>
          <w:sz w:val="27"/>
          <w:szCs w:val="27"/>
        </w:rPr>
        <w:t xml:space="preserve">D.1 Due strade per dare conoscenza a un modello</w:t>
      </w:r>
    </w:p>
    <w:p>
      <w:pPr>
        <w:spacing w:after="120" w:line="290"/>
        <w:jc w:val="both"/>
      </w:pPr>
      <w:r>
        <w:rPr>
          <w:sz w:val="21"/>
          <w:szCs w:val="21"/>
        </w:rPr>
        <w:t xml:space="preserve">È il bivio concettuale più importante di questa appendice. Per far sì che un modello «sappia» qualcosa che non sapeva, esistono due strade radicalmente diverse.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RAG contro fine-tuning</w:t>
      </w:r>
      <w:r>
        <w:rPr>
          <w:color w:val="1A2332"/>
          <w:sz w:val="20"/>
          <w:szCs w:val="20"/>
        </w:rPr>
        <w:br/>
        <w:t xml:space="preserve">Il RAG fornisce conoscenza al modello a runtime, recuperando documenti e inserendoli nel contesto, senza modificare il modello. Il fine-tuning modifica i parametri del modello attraverso un ulteriore addestramento, così che la conoscenza o il comportamento vengano «assorbiti» stabilmente. Il primo aggiunge fatti consultabili; il secondo cambia il modello.</w:t>
      </w:r>
    </w:p>
    <w:p>
      <w:pPr>
        <w:spacing w:after="120" w:line="290"/>
        <w:jc w:val="both"/>
      </w:pPr>
      <w:r>
        <w:rPr>
          <w:sz w:val="21"/>
          <w:szCs w:val="21"/>
        </w:rPr>
        <w:t xml:space="preserve">La distinzione pratica è netta e va memorizzata: il </w:t>
      </w:r>
      <w:r>
        <w:rPr>
          <w:b/>
          <w:bCs/>
          <w:sz w:val="21"/>
          <w:szCs w:val="21"/>
        </w:rPr>
        <w:t xml:space="preserve">RAG</w:t>
      </w:r>
      <w:r>
        <w:rPr>
          <w:sz w:val="21"/>
          <w:szCs w:val="21"/>
        </w:rPr>
        <w:t xml:space="preserve"> è la scelta giusta quando vuoi dare al modello </w:t>
      </w:r>
      <w:r>
        <w:rPr>
          <w:i/>
          <w:iCs/>
          <w:sz w:val="21"/>
          <w:szCs w:val="21"/>
        </w:rPr>
        <w:t xml:space="preserve">fatti da consultare</w:t>
      </w:r>
      <w:r>
        <w:rPr>
          <w:sz w:val="21"/>
          <w:szCs w:val="21"/>
        </w:rPr>
        <w:t xml:space="preserve"> — documenti, dati, informazioni aggiornabili. Il </w:t>
      </w:r>
      <w:r>
        <w:rPr>
          <w:b/>
          <w:bCs/>
          <w:sz w:val="21"/>
          <w:szCs w:val="21"/>
        </w:rPr>
        <w:t xml:space="preserve">fine-tuning</w:t>
      </w:r>
      <w:r>
        <w:rPr>
          <w:sz w:val="21"/>
          <w:szCs w:val="21"/>
        </w:rPr>
        <w:t xml:space="preserve"> è la scelta giusta quando vuoi cambiare </w:t>
      </w:r>
      <w:r>
        <w:rPr>
          <w:i/>
          <w:iCs/>
          <w:sz w:val="21"/>
          <w:szCs w:val="21"/>
        </w:rPr>
        <w:t xml:space="preserve">come il modello si comporta</w:t>
      </w:r>
      <w:r>
        <w:rPr>
          <w:sz w:val="21"/>
          <w:szCs w:val="21"/>
        </w:rPr>
        <w:t xml:space="preserve"> — il suo stile, il suo formato di risposta, la sua padronanza di un gergo specialistico. Per i fatti, il RAG vince quasi sempre: è più semplice, aggiornabile senza riaddestrare, e non rischia di «congelare» informazioni destinate a cambiare.</w:t>
      </w:r>
    </w:p>
    <w:p>
      <w:pPr>
        <w:pStyle w:val="Heading2"/>
        <w:spacing w:after="100" w:before="240"/>
      </w:pPr>
      <w:r>
        <w:rPr>
          <w:b/>
          <w:bCs/>
          <w:color w:val="1F3A5F"/>
          <w:sz w:val="27"/>
          <w:szCs w:val="27"/>
        </w:rPr>
        <w:t xml:space="preserve">D.2 Il fine-tuning tradizionale e i suoi costi</w:t>
      </w:r>
    </w:p>
    <w:p>
      <w:pPr>
        <w:spacing w:after="120" w:line="290"/>
        <w:jc w:val="both"/>
      </w:pPr>
      <w:r>
        <w:rPr>
          <w:sz w:val="21"/>
          <w:szCs w:val="21"/>
        </w:rPr>
        <w:t xml:space="preserve">Il fine-tuning classico riaddestra </w:t>
      </w:r>
      <w:r>
        <w:rPr>
          <w:i/>
          <w:iCs/>
          <w:sz w:val="21"/>
          <w:szCs w:val="21"/>
        </w:rPr>
        <w:t xml:space="preserve">tutti</w:t>
      </w:r>
      <w:r>
        <w:rPr>
          <w:sz w:val="21"/>
          <w:szCs w:val="21"/>
        </w:rPr>
        <w:t xml:space="preserve"> i parametri del modello sul nuovo materiale. Su modelli da miliardi di parametri, questo comporta tempi lunghi, risorse di calcolo ingenti e un rischio specifico.</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Overfitting (sovradattamento)</w:t>
      </w:r>
      <w:r>
        <w:rPr>
          <w:color w:val="1A2332"/>
          <w:sz w:val="20"/>
          <w:szCs w:val="20"/>
        </w:rPr>
        <w:br/>
        <w:t xml:space="preserve">Fenomeno in cui il modello, addestrato troppo intensamente su un insieme di dati, apprende non solo le informazioni utili ma anche il «rumore» e le peculiarità irrilevanti di quei dati, perdendo capacità di generalizzare. Nell'analogia dell'articolo di riferimento, è come uno studente che, all'ultima lezione, si fissa su un singolo argomento e trascura tutti gli altri.</w:t>
      </w:r>
    </w:p>
    <w:p>
      <w:pPr>
        <w:pStyle w:val="Heading2"/>
        <w:spacing w:after="100" w:before="240"/>
      </w:pPr>
      <w:r>
        <w:rPr>
          <w:b/>
          <w:bCs/>
          <w:color w:val="1F3A5F"/>
          <w:sz w:val="27"/>
          <w:szCs w:val="27"/>
        </w:rPr>
        <w:t xml:space="preserve">D.3 LoRA: addestrare poco per cambiare molto</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LoRA (Low-Rank Adaptation)</w:t>
      </w:r>
      <w:r>
        <w:rPr>
          <w:color w:val="1A2332"/>
          <w:sz w:val="20"/>
          <w:szCs w:val="20"/>
        </w:rPr>
        <w:br/>
        <w:t xml:space="preserve">Tecnica di fine-tuning efficiente che, invece di riaddestrare tutti i parametri, li «congela» e addestra un piccolo insieme aggiuntivo di parametri organizzati in matrici «di basso rango». Al termine, queste matrici vengono unite al modello originale. Il processo è molto più rapido, economico e leggero del fine-tuning tradizionale.</w:t>
      </w:r>
    </w:p>
    <w:p>
      <w:pPr>
        <w:spacing w:after="120" w:line="290"/>
        <w:jc w:val="both"/>
      </w:pPr>
      <w:r>
        <w:rPr>
          <w:sz w:val="21"/>
          <w:szCs w:val="21"/>
        </w:rPr>
        <w:t xml:space="preserve">L'idea di LoRA è elegante: la maggior parte della conoscenza del modello è già presente e non va toccata. Basta addestrare un piccolo «strato di adattamento» — poche righe e colonne aggiuntive — e poi fonderlo nel modello. Il guadagno, come sintetizza l'articolo di riferimento, è netto: meno parametri da addestrare, minore rischio di overfitting, addestramento più rapido, meno memoria richiesta, e la flessibilità di scegliere su quali parti del modello intervenire.</w:t>
      </w:r>
    </w:p>
    <w:p>
      <w:pPr>
        <w:pStyle w:val="Heading2"/>
        <w:spacing w:after="100" w:before="240"/>
      </w:pPr>
      <w:r>
        <w:rPr>
          <w:b/>
          <w:bCs/>
          <w:color w:val="1F3A5F"/>
          <w:sz w:val="27"/>
          <w:szCs w:val="27"/>
        </w:rPr>
        <w:t xml:space="preserve">D.4 QLoRA: LoRA con la quantizzazione</w:t>
      </w:r>
    </w:p>
    <w:p>
      <w:pPr>
        <w:spacing w:after="120" w:line="290"/>
        <w:jc w:val="both"/>
      </w:pPr>
      <w:r>
        <w:rPr>
          <w:sz w:val="21"/>
          <w:szCs w:val="21"/>
        </w:rPr>
        <w:t xml:space="preserve">Qui i concetti si chiudono in cerchio, ricongiungendosi al Capitolo 3 del manuale.</w:t>
      </w:r>
    </w:p>
    <w:p>
      <w:pPr>
        <w:pBdr>
          <w:top w:val="single" w:color="C9D3DE" w:sz="2" w:space="6"/>
          <w:bottom w:val="single" w:color="C9D3DE" w:sz="2" w:space="6"/>
          <w:left w:val="single" w:color="1F3A5F" w:sz="28" w:space="12"/>
          <w:right w:val="single" w:color="C9D3DE" w:sz="2" w:space="6"/>
        </w:pBdr>
        <w:shd w:fill="EDF2F7" w:color="auto" w:val="clear"/>
        <w:spacing w:after="140" w:before="120"/>
      </w:pPr>
      <w:r>
        <w:rPr>
          <w:b/>
          <w:bCs/>
          <w:color w:val="1F3A5F"/>
          <w:spacing w:val="40"/>
          <w:sz w:val="17"/>
          <w:szCs w:val="17"/>
        </w:rPr>
        <w:t xml:space="preserve">DEFINIZIONE — </w:t>
      </w:r>
      <w:r>
        <w:rPr>
          <w:b/>
          <w:bCs/>
          <w:color w:val="1A2332"/>
          <w:sz w:val="21"/>
          <w:szCs w:val="21"/>
        </w:rPr>
        <w:t xml:space="preserve">QLoRA (Quantized Low-Rank Adaptation)</w:t>
      </w:r>
      <w:r>
        <w:rPr>
          <w:color w:val="1A2332"/>
          <w:sz w:val="20"/>
          <w:szCs w:val="20"/>
        </w:rPr>
        <w:br/>
        <w:t xml:space="preserve">Estensione di LoRA che applica la quantizzazione (in particolare un formato numerico a 4 bit) per ridurre ulteriormente la memoria necessaria, al punto da rendere possibile il fine-tuning di un modello sulla memoria di una singola GPU. Riduce l'ingombro di circa quattro volte rispetto alla versione non quantizzata.</w:t>
      </w:r>
    </w:p>
    <w:p>
      <w:pPr>
        <w:spacing w:after="120" w:line="290"/>
        <w:jc w:val="both"/>
      </w:pPr>
      <w:r>
        <w:rPr>
          <w:sz w:val="21"/>
          <w:szCs w:val="21"/>
        </w:rPr>
        <w:t xml:space="preserve">La «Q» di QLoRA è esattamente la quantizzazione che hai studiato per </w:t>
      </w:r>
      <w:r>
        <w:rPr>
          <w:i/>
          <w:iCs/>
          <w:sz w:val="21"/>
          <w:szCs w:val="21"/>
        </w:rPr>
        <w:t xml:space="preserve">eseguire</w:t>
      </w:r>
      <w:r>
        <w:rPr>
          <w:sz w:val="21"/>
          <w:szCs w:val="21"/>
        </w:rPr>
        <w:t xml:space="preserve"> i modelli: lo stesso principio — rappresentare i parametri con meno bit — qui serve per </w:t>
      </w:r>
      <w:r>
        <w:rPr>
          <w:i/>
          <w:iCs/>
          <w:sz w:val="21"/>
          <w:szCs w:val="21"/>
        </w:rPr>
        <w:t xml:space="preserve">addestrarli</w:t>
      </w:r>
      <w:r>
        <w:rPr>
          <w:sz w:val="21"/>
          <w:szCs w:val="21"/>
        </w:rPr>
        <w:t xml:space="preserve"> con poca memoria. È un bell'esempio di come un concetto fondamentale ritorni in contesti diversi.</w:t>
      </w:r>
    </w:p>
    <w:p>
      <w:pPr>
        <w:pBdr>
          <w:left w:val="single" w:color="2E6E9E" w:sz="14" w:space="10"/>
        </w:pBdr>
        <w:spacing w:after="120" w:before="80"/>
        <w:ind w:left="360"/>
      </w:pPr>
      <w:r>
        <w:rPr>
          <w:b/>
          <w:bCs/>
          <w:i/>
          <w:iCs/>
          <w:color w:val="2E6E9E"/>
          <w:sz w:val="19"/>
          <w:szCs w:val="19"/>
        </w:rPr>
        <w:t xml:space="preserve">Nota. </w:t>
      </w:r>
      <w:r>
        <w:rPr>
          <w:i/>
          <w:iCs/>
          <w:color w:val="4A5260"/>
          <w:sz w:val="19"/>
          <w:szCs w:val="19"/>
        </w:rPr>
        <w:t xml:space="preserve">La quantizzazione nel fine-tuning comporta un compromesso analogo a quello visto per l'inferenza: comprimendo i parametri si rischia di perdere l'informazione più fine. In teoria parte di essa si recupera quando le matrici addestrate vengono riunite alle originali; in pratica, un certo grado di perdita è possibile. Come sempre, è un bilanciamento tra risorse e fedeltà.</w:t>
      </w:r>
    </w:p>
    <w:p>
      <w:pPr>
        <w:pStyle w:val="Heading2"/>
        <w:spacing w:after="100" w:before="240"/>
      </w:pPr>
      <w:r>
        <w:rPr>
          <w:b/>
          <w:bCs/>
          <w:color w:val="1F3A5F"/>
          <w:sz w:val="27"/>
          <w:szCs w:val="27"/>
        </w:rPr>
        <w:t xml:space="preserve">D.5 Serve a te? Il criterio onesto</w:t>
      </w:r>
    </w:p>
    <w:p>
      <w:pPr>
        <w:spacing w:after="120" w:line="290"/>
        <w:jc w:val="both"/>
      </w:pPr>
      <w:r>
        <w:rPr>
          <w:sz w:val="21"/>
          <w:szCs w:val="21"/>
        </w:rPr>
        <w:t xml:space="preserve">Applichiamo alla tua situazione il principio di adozione incrementale. Il fine-tuning — anche nella forma efficiente di QLoRA — è una tecnica potente ma </w:t>
      </w:r>
      <w:r>
        <w:rPr>
          <w:b/>
          <w:bCs/>
          <w:sz w:val="21"/>
          <w:szCs w:val="21"/>
        </w:rPr>
        <w:t xml:space="preserve">raramente il primo strumento da raggiungere</w:t>
      </w:r>
      <w:r>
        <w:rPr>
          <w:sz w:val="21"/>
          <w:szCs w:val="21"/>
        </w:rPr>
        <w:t xml:space="preserve">.</w:t>
      </w:r>
    </w:p>
    <w:p>
      <w:pPr>
        <w:pStyle w:val="ListParagraph"/>
        <w:numPr>
          <w:ilvl w:val="0"/>
          <w:numId w:val="2"/>
        </w:numPr>
        <w:spacing w:after="70" w:line="284"/>
      </w:pPr>
      <w:r>
        <w:rPr>
          <w:b/>
          <w:bCs/>
          <w:sz w:val="21"/>
          <w:szCs w:val="21"/>
        </w:rPr>
        <w:t xml:space="preserve">Se il tuo obiettivo è </w:t>
      </w:r>
      <w:r>
        <w:rPr>
          <w:i/>
          <w:iCs/>
          <w:sz w:val="21"/>
          <w:szCs w:val="21"/>
        </w:rPr>
        <w:t xml:space="preserve">interrogare documenti</w:t>
      </w:r>
      <w:r>
        <w:rPr>
          <w:sz w:val="21"/>
          <w:szCs w:val="21"/>
        </w:rPr>
        <w:t xml:space="preserve"> (dossier, deliverable, normativa): </w:t>
      </w:r>
      <w:r>
        <w:rPr>
          <w:b/>
          <w:bCs/>
          <w:sz w:val="21"/>
          <w:szCs w:val="21"/>
        </w:rPr>
        <w:t xml:space="preserve">resta sul RAG</w:t>
      </w:r>
      <w:r>
        <w:rPr>
          <w:sz w:val="21"/>
          <w:szCs w:val="21"/>
        </w:rPr>
        <w:t xml:space="preserve">. Il fine-tuning non serve, e sarebbe controproducente perché congelerebbe informazioni che cambiano.</w:t>
      </w:r>
    </w:p>
    <w:p>
      <w:pPr>
        <w:pStyle w:val="ListParagraph"/>
        <w:numPr>
          <w:ilvl w:val="0"/>
          <w:numId w:val="2"/>
        </w:numPr>
        <w:spacing w:after="70" w:line="284"/>
      </w:pPr>
      <w:r>
        <w:rPr>
          <w:b/>
          <w:bCs/>
          <w:sz w:val="21"/>
          <w:szCs w:val="21"/>
        </w:rPr>
        <w:t xml:space="preserve">Se il tuo obiettivo è </w:t>
      </w:r>
      <w:r>
        <w:rPr>
          <w:i/>
          <w:iCs/>
          <w:sz w:val="21"/>
          <w:szCs w:val="21"/>
        </w:rPr>
        <w:t xml:space="preserve">cambiare stile o formato</w:t>
      </w:r>
      <w:r>
        <w:rPr>
          <w:sz w:val="21"/>
          <w:szCs w:val="21"/>
        </w:rPr>
        <w:t xml:space="preserve"> (un modello che «parla» sempre nel tuo registro professionale, o che produce sempre un certo tipo di output strutturato): </w:t>
      </w:r>
      <w:r>
        <w:rPr>
          <w:b/>
          <w:bCs/>
          <w:sz w:val="21"/>
          <w:szCs w:val="21"/>
        </w:rPr>
        <w:t xml:space="preserve">qui LoRA/QLoRA ha senso</w:t>
      </w:r>
      <w:r>
        <w:rPr>
          <w:sz w:val="21"/>
          <w:szCs w:val="21"/>
        </w:rPr>
        <w:t xml:space="preserve">.</w:t>
      </w:r>
    </w:p>
    <w:p>
      <w:pPr>
        <w:pStyle w:val="ListParagraph"/>
        <w:numPr>
          <w:ilvl w:val="0"/>
          <w:numId w:val="2"/>
        </w:numPr>
        <w:spacing w:after="70" w:line="284"/>
      </w:pPr>
      <w:r>
        <w:rPr>
          <w:b/>
          <w:bCs/>
          <w:sz w:val="21"/>
          <w:szCs w:val="21"/>
        </w:rPr>
        <w:t xml:space="preserve">Sul piano hardware: </w:t>
      </w:r>
      <w:r>
        <w:rPr>
          <w:sz w:val="21"/>
          <w:szCs w:val="21"/>
        </w:rPr>
        <w:t xml:space="preserve">QLoRA è nata per la singola GPU, e la tua scheda da 8 GB è al limite inferiore ma teoricamente in gioco per il fine-tuning di modelli piccoli. È un territorio sperimentale, non produttivo, sul tuo hardware attuale.</w:t>
      </w:r>
    </w:p>
    <w:p>
      <w:pPr>
        <w:pBdr>
          <w:left w:val="single" w:color="E65100" w:sz="24" w:space="10"/>
        </w:pBdr>
        <w:shd w:fill="FDF3E7" w:color="auto" w:val="clear"/>
        <w:spacing w:after="120" w:before="80"/>
      </w:pPr>
      <w:r>
        <w:rPr>
          <w:b/>
          <w:bCs/>
          <w:color w:val="E65100"/>
          <w:sz w:val="19"/>
          <w:szCs w:val="19"/>
        </w:rPr>
        <w:t xml:space="preserve">Avvertenza. </w:t>
      </w:r>
      <w:r>
        <w:rPr>
          <w:color w:val="1A2332"/>
          <w:sz w:val="19"/>
          <w:szCs w:val="19"/>
        </w:rPr>
        <w:t xml:space="preserve">Per il tuo caso d'uso dichiarato — un RAG di qualità sui documenti PMI — il fine-tuning non è necessario. Va studiato per completezza e tenuto come opzione per un bisogno futuro e diverso (un modello dallo stile personalizzato), non come prossimo passo. Il RAG che hai costruito copre l'obiettivo attuale in modo più semplice e aggiornabile.</w:t>
      </w:r>
    </w:p>
    <w:p>
      <w:pPr>
        <w:pStyle w:val="Heading3"/>
        <w:spacing w:after="70" w:before="180"/>
      </w:pPr>
      <w:r>
        <w:rPr>
          <w:b/>
          <w:bCs/>
          <w:color w:val="2E6E9E"/>
          <w:sz w:val="23"/>
          <w:szCs w:val="23"/>
        </w:rPr>
        <w:t xml:space="preserve">RAG e fine-tuning: quadro di scelta</w:t>
      </w:r>
    </w:p>
    <w:tbl>
      <w:tblPr>
        <w:tblW w:type="dxa" w:w="9000"/>
        <w:tblBorders>
          <w:top w:val="single" w:color="B0BCC9" w:sz="2"/>
          <w:left w:val="single" w:color="B0BCC9" w:sz="2"/>
          <w:bottom w:val="single" w:color="B0BCC9" w:sz="2"/>
          <w:right w:val="single" w:color="B0BCC9" w:sz="2"/>
          <w:insideH w:val="single" w:color="C9D3DE" w:sz="2"/>
          <w:insideV w:val="single" w:color="C9D3DE" w:sz="2"/>
        </w:tblBorders>
      </w:tblPr>
      <w:tblGrid>
        <w:gridCol w:w="2400"/>
        <w:gridCol w:w="3300"/>
        <w:gridCol w:w="3300"/>
      </w:tblGrid>
      <w:tr>
        <w:tc>
          <w:tcPr>
            <w:tcW w:type="dxa" w:w="2400"/>
            <w:shd w:fill="6A1B9A" w:color="auto" w:val="clear"/>
            <w:tcMar>
              <w:top w:type="dxa" w:w="70"/>
              <w:left w:type="dxa" w:w="110"/>
              <w:bottom w:type="dxa" w:w="70"/>
              <w:right w:type="dxa" w:w="110"/>
            </w:tcMar>
          </w:tcPr>
          <w:p>
            <w:r>
              <w:rPr>
                <w:b/>
                <w:bCs/>
                <w:color w:val="FFFFFF"/>
                <w:sz w:val="19"/>
                <w:szCs w:val="19"/>
              </w:rPr>
              <w:t xml:space="preserve"/>
            </w:r>
          </w:p>
        </w:tc>
        <w:tc>
          <w:tcPr>
            <w:tcW w:type="dxa" w:w="3300"/>
            <w:shd w:fill="6A1B9A" w:color="auto" w:val="clear"/>
            <w:tcMar>
              <w:top w:type="dxa" w:w="70"/>
              <w:left w:type="dxa" w:w="110"/>
              <w:bottom w:type="dxa" w:w="70"/>
              <w:right w:type="dxa" w:w="110"/>
            </w:tcMar>
          </w:tcPr>
          <w:p>
            <w:r>
              <w:rPr>
                <w:b/>
                <w:bCs/>
                <w:color w:val="FFFFFF"/>
                <w:sz w:val="19"/>
                <w:szCs w:val="19"/>
              </w:rPr>
              <w:t xml:space="preserve">RAG</w:t>
            </w:r>
          </w:p>
        </w:tc>
        <w:tc>
          <w:tcPr>
            <w:tcW w:type="dxa" w:w="3300"/>
            <w:shd w:fill="6A1B9A" w:color="auto" w:val="clear"/>
            <w:tcMar>
              <w:top w:type="dxa" w:w="70"/>
              <w:left w:type="dxa" w:w="110"/>
              <w:bottom w:type="dxa" w:w="70"/>
              <w:right w:type="dxa" w:w="110"/>
            </w:tcMar>
          </w:tcPr>
          <w:p>
            <w:r>
              <w:rPr>
                <w:b/>
                <w:bCs/>
                <w:color w:val="FFFFFF"/>
                <w:sz w:val="19"/>
                <w:szCs w:val="19"/>
              </w:rPr>
              <w:t xml:space="preserve">Fine-tuning (LoRA/QLoRA)</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Modifica il modello?</w:t>
            </w:r>
          </w:p>
        </w:tc>
        <w:tc>
          <w:tcPr>
            <w:tcW w:type="dxa" w:w="3300"/>
            <w:tcMar>
              <w:top w:type="dxa" w:w="70"/>
              <w:left w:type="dxa" w:w="110"/>
              <w:bottom w:type="dxa" w:w="70"/>
              <w:right w:type="dxa" w:w="110"/>
            </w:tcMar>
          </w:tcPr>
          <w:p>
            <w:r>
              <w:rPr>
                <w:b w:val="false"/>
                <w:bCs w:val="false"/>
                <w:color w:val="000000"/>
                <w:sz w:val="19"/>
                <w:szCs w:val="19"/>
              </w:rPr>
              <w:t xml:space="preserve">No</w:t>
            </w:r>
          </w:p>
        </w:tc>
        <w:tc>
          <w:tcPr>
            <w:tcW w:type="dxa" w:w="3300"/>
            <w:tcMar>
              <w:top w:type="dxa" w:w="70"/>
              <w:left w:type="dxa" w:w="110"/>
              <w:bottom w:type="dxa" w:w="70"/>
              <w:right w:type="dxa" w:w="110"/>
            </w:tcMar>
          </w:tcPr>
          <w:p>
            <w:r>
              <w:rPr>
                <w:b w:val="false"/>
                <w:bCs w:val="false"/>
                <w:color w:val="000000"/>
                <w:sz w:val="19"/>
                <w:szCs w:val="19"/>
              </w:rPr>
              <w:t xml:space="preserve">Sì</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A cosa serve</w:t>
            </w:r>
          </w:p>
        </w:tc>
        <w:tc>
          <w:tcPr>
            <w:tcW w:type="dxa" w:w="3300"/>
            <w:tcMar>
              <w:top w:type="dxa" w:w="70"/>
              <w:left w:type="dxa" w:w="110"/>
              <w:bottom w:type="dxa" w:w="70"/>
              <w:right w:type="dxa" w:w="110"/>
            </w:tcMar>
          </w:tcPr>
          <w:p>
            <w:r>
              <w:rPr>
                <w:b w:val="false"/>
                <w:bCs w:val="false"/>
                <w:color w:val="000000"/>
                <w:sz w:val="19"/>
                <w:szCs w:val="19"/>
              </w:rPr>
              <w:t xml:space="preserve">Dare fatti da consultare</w:t>
            </w:r>
          </w:p>
        </w:tc>
        <w:tc>
          <w:tcPr>
            <w:tcW w:type="dxa" w:w="3300"/>
            <w:tcMar>
              <w:top w:type="dxa" w:w="70"/>
              <w:left w:type="dxa" w:w="110"/>
              <w:bottom w:type="dxa" w:w="70"/>
              <w:right w:type="dxa" w:w="110"/>
            </w:tcMar>
          </w:tcPr>
          <w:p>
            <w:r>
              <w:rPr>
                <w:b w:val="false"/>
                <w:bCs w:val="false"/>
                <w:color w:val="000000"/>
                <w:sz w:val="19"/>
                <w:szCs w:val="19"/>
              </w:rPr>
              <w:t xml:space="preserve">Cambiare stile/comportamento</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Aggiornabilità</w:t>
            </w:r>
          </w:p>
        </w:tc>
        <w:tc>
          <w:tcPr>
            <w:tcW w:type="dxa" w:w="3300"/>
            <w:tcMar>
              <w:top w:type="dxa" w:w="70"/>
              <w:left w:type="dxa" w:w="110"/>
              <w:bottom w:type="dxa" w:w="70"/>
              <w:right w:type="dxa" w:w="110"/>
            </w:tcMar>
          </w:tcPr>
          <w:p>
            <w:r>
              <w:rPr>
                <w:b w:val="false"/>
                <w:bCs w:val="false"/>
                <w:color w:val="000000"/>
                <w:sz w:val="19"/>
                <w:szCs w:val="19"/>
              </w:rPr>
              <w:t xml:space="preserve">Immediata (cambi i documenti)</w:t>
            </w:r>
          </w:p>
        </w:tc>
        <w:tc>
          <w:tcPr>
            <w:tcW w:type="dxa" w:w="3300"/>
            <w:tcMar>
              <w:top w:type="dxa" w:w="70"/>
              <w:left w:type="dxa" w:w="110"/>
              <w:bottom w:type="dxa" w:w="70"/>
              <w:right w:type="dxa" w:w="110"/>
            </w:tcMar>
          </w:tcPr>
          <w:p>
            <w:r>
              <w:rPr>
                <w:b w:val="false"/>
                <w:bCs w:val="false"/>
                <w:color w:val="000000"/>
                <w:sz w:val="19"/>
                <w:szCs w:val="19"/>
              </w:rPr>
              <w:t xml:space="preserve">Richiede nuovo addestramento</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Costo iniziale</w:t>
            </w:r>
          </w:p>
        </w:tc>
        <w:tc>
          <w:tcPr>
            <w:tcW w:type="dxa" w:w="3300"/>
            <w:tcMar>
              <w:top w:type="dxa" w:w="70"/>
              <w:left w:type="dxa" w:w="110"/>
              <w:bottom w:type="dxa" w:w="70"/>
              <w:right w:type="dxa" w:w="110"/>
            </w:tcMar>
          </w:tcPr>
          <w:p>
            <w:r>
              <w:rPr>
                <w:b w:val="false"/>
                <w:bCs w:val="false"/>
                <w:color w:val="000000"/>
                <w:sz w:val="19"/>
                <w:szCs w:val="19"/>
              </w:rPr>
              <w:t xml:space="preserve">Basso</w:t>
            </w:r>
          </w:p>
        </w:tc>
        <w:tc>
          <w:tcPr>
            <w:tcW w:type="dxa" w:w="3300"/>
            <w:tcMar>
              <w:top w:type="dxa" w:w="70"/>
              <w:left w:type="dxa" w:w="110"/>
              <w:bottom w:type="dxa" w:w="70"/>
              <w:right w:type="dxa" w:w="110"/>
            </w:tcMar>
          </w:tcPr>
          <w:p>
            <w:r>
              <w:rPr>
                <w:b w:val="false"/>
                <w:bCs w:val="false"/>
                <w:color w:val="000000"/>
                <w:sz w:val="19"/>
                <w:szCs w:val="19"/>
              </w:rPr>
              <w:t xml:space="preserve">Medio (ridotto da LoRA/QLoRA)</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Sul tuo hardware</w:t>
            </w:r>
          </w:p>
        </w:tc>
        <w:tc>
          <w:tcPr>
            <w:tcW w:type="dxa" w:w="3300"/>
            <w:tcMar>
              <w:top w:type="dxa" w:w="70"/>
              <w:left w:type="dxa" w:w="110"/>
              <w:bottom w:type="dxa" w:w="70"/>
              <w:right w:type="dxa" w:w="110"/>
            </w:tcMar>
          </w:tcPr>
          <w:p>
            <w:r>
              <w:rPr>
                <w:b w:val="false"/>
                <w:bCs w:val="false"/>
                <w:color w:val="000000"/>
                <w:sz w:val="19"/>
                <w:szCs w:val="19"/>
              </w:rPr>
              <w:t xml:space="preserve">Fluido</w:t>
            </w:r>
          </w:p>
        </w:tc>
        <w:tc>
          <w:tcPr>
            <w:tcW w:type="dxa" w:w="3300"/>
            <w:tcMar>
              <w:top w:type="dxa" w:w="70"/>
              <w:left w:type="dxa" w:w="110"/>
              <w:bottom w:type="dxa" w:w="70"/>
              <w:right w:type="dxa" w:w="110"/>
            </w:tcMar>
          </w:tcPr>
          <w:p>
            <w:r>
              <w:rPr>
                <w:b w:val="false"/>
                <w:bCs w:val="false"/>
                <w:color w:val="000000"/>
                <w:sz w:val="19"/>
                <w:szCs w:val="19"/>
              </w:rPr>
              <w:t xml:space="preserve">Al limite, sperimentale</w:t>
            </w:r>
          </w:p>
        </w:tc>
      </w:tr>
      <w:tr>
        <w:tc>
          <w:tcPr>
            <w:tcW w:type="dxa" w:w="2400"/>
            <w:shd w:fill="EDF2F7" w:color="auto" w:val="clear"/>
            <w:tcMar>
              <w:top w:type="dxa" w:w="70"/>
              <w:left w:type="dxa" w:w="110"/>
              <w:bottom w:type="dxa" w:w="70"/>
              <w:right w:type="dxa" w:w="110"/>
            </w:tcMar>
          </w:tcPr>
          <w:p>
            <w:r>
              <w:rPr>
                <w:b w:val="false"/>
                <w:bCs w:val="false"/>
                <w:color w:val="000000"/>
                <w:sz w:val="19"/>
                <w:szCs w:val="19"/>
              </w:rPr>
              <w:t xml:space="preserve">Per i tuoi documenti PMI</w:t>
            </w:r>
          </w:p>
        </w:tc>
        <w:tc>
          <w:tcPr>
            <w:tcW w:type="dxa" w:w="3300"/>
            <w:tcMar>
              <w:top w:type="dxa" w:w="70"/>
              <w:left w:type="dxa" w:w="110"/>
              <w:bottom w:type="dxa" w:w="70"/>
              <w:right w:type="dxa" w:w="110"/>
            </w:tcMar>
          </w:tcPr>
          <w:p>
            <w:r>
              <w:rPr>
                <w:b w:val="false"/>
                <w:bCs w:val="false"/>
                <w:color w:val="000000"/>
                <w:sz w:val="19"/>
                <w:szCs w:val="19"/>
              </w:rPr>
              <w:t xml:space="preserve">Scelta consigliata</w:t>
            </w:r>
          </w:p>
        </w:tc>
        <w:tc>
          <w:tcPr>
            <w:tcW w:type="dxa" w:w="3300"/>
            <w:tcMar>
              <w:top w:type="dxa" w:w="70"/>
              <w:left w:type="dxa" w:w="110"/>
              <w:bottom w:type="dxa" w:w="70"/>
              <w:right w:type="dxa" w:w="110"/>
            </w:tcMar>
          </w:tcPr>
          <w:p>
            <w:r>
              <w:rPr>
                <w:b w:val="false"/>
                <w:bCs w:val="false"/>
                <w:color w:val="000000"/>
                <w:sz w:val="19"/>
                <w:szCs w:val="19"/>
              </w:rPr>
              <w:t xml:space="preserve">Non necessario ora</w:t>
            </w:r>
          </w:p>
        </w:tc>
      </w:tr>
    </w:tbl>
    <w:p>
      <w:pPr>
        <w:spacing w:after="70" w:before="160"/>
      </w:pPr>
      <w:r>
        <w:rPr>
          <w:b/>
          <w:bCs/>
          <w:i/>
          <w:iCs/>
          <w:color w:val="1F3A5F"/>
          <w:sz w:val="22"/>
          <w:szCs w:val="22"/>
        </w:rPr>
        <w:t xml:space="preserve">In sintesi</w:t>
      </w:r>
    </w:p>
    <w:p>
      <w:pPr>
        <w:pStyle w:val="ListParagraph"/>
        <w:numPr>
          <w:ilvl w:val="0"/>
          <w:numId w:val="2"/>
        </w:numPr>
        <w:spacing w:after="60" w:line="280"/>
      </w:pPr>
      <w:r>
        <w:rPr>
          <w:sz w:val="20"/>
          <w:szCs w:val="20"/>
        </w:rPr>
        <w:t xml:space="preserve">Fine-tuning e RAG sono le due strade per dare conoscenza: il primo modifica il modello, il secondo lo alimenta a runtime.</w:t>
      </w:r>
    </w:p>
    <w:p>
      <w:pPr>
        <w:pStyle w:val="ListParagraph"/>
        <w:numPr>
          <w:ilvl w:val="0"/>
          <w:numId w:val="2"/>
        </w:numPr>
        <w:spacing w:after="60" w:line="280"/>
      </w:pPr>
      <w:r>
        <w:rPr>
          <w:sz w:val="20"/>
          <w:szCs w:val="20"/>
        </w:rPr>
        <w:t xml:space="preserve">Regola pratica: RAG per i fatti, fine-tuning per stile e comportamento.</w:t>
      </w:r>
    </w:p>
    <w:p>
      <w:pPr>
        <w:pStyle w:val="ListParagraph"/>
        <w:numPr>
          <w:ilvl w:val="0"/>
          <w:numId w:val="2"/>
        </w:numPr>
        <w:spacing w:after="60" w:line="280"/>
      </w:pPr>
      <w:r>
        <w:rPr>
          <w:sz w:val="20"/>
          <w:szCs w:val="20"/>
        </w:rPr>
        <w:t xml:space="preserve">Il fine-tuning tradizionale riaddestra tutti i parametri: costoso e a rischio di overfitting.</w:t>
      </w:r>
    </w:p>
    <w:p>
      <w:pPr>
        <w:pStyle w:val="ListParagraph"/>
        <w:numPr>
          <w:ilvl w:val="0"/>
          <w:numId w:val="2"/>
        </w:numPr>
        <w:spacing w:after="60" w:line="280"/>
      </w:pPr>
      <w:r>
        <w:rPr>
          <w:sz w:val="20"/>
          <w:szCs w:val="20"/>
        </w:rPr>
        <w:t xml:space="preserve">LoRA congela il modello e addestra piccole matrici di basso rango, poi le fonde: rapido ed economico.</w:t>
      </w:r>
    </w:p>
    <w:p>
      <w:pPr>
        <w:pStyle w:val="ListParagraph"/>
        <w:numPr>
          <w:ilvl w:val="0"/>
          <w:numId w:val="2"/>
        </w:numPr>
        <w:spacing w:after="60" w:line="280"/>
      </w:pPr>
      <w:r>
        <w:rPr>
          <w:sz w:val="20"/>
          <w:szCs w:val="20"/>
        </w:rPr>
        <w:t xml:space="preserve">QLoRA aggiunge la quantizzazione a 4 bit, permettendo il fine-tuning su una singola GPU.</w:t>
      </w:r>
    </w:p>
    <w:p>
      <w:pPr>
        <w:pStyle w:val="ListParagraph"/>
        <w:numPr>
          <w:ilvl w:val="0"/>
          <w:numId w:val="2"/>
        </w:numPr>
        <w:spacing w:after="60" w:line="280"/>
      </w:pPr>
      <w:r>
        <w:rPr>
          <w:sz w:val="20"/>
          <w:szCs w:val="20"/>
        </w:rPr>
        <w:t xml:space="preserve">Per l'obiettivo RAG sui documenti PMI il fine-tuning non serve: è un'opzione per un bisogno futuro diverso.</w:t>
      </w:r>
    </w:p>
    <w:p>
      <w:pPr>
        <w:shd w:fill="1A2332" w:color="auto" w:val="clear"/>
        <w:spacing w:after="80" w:before="200"/>
      </w:pPr>
      <w:r>
        <w:rPr>
          <w:b/>
          <w:bCs/>
          <w:color w:val="FFFFFF"/>
          <w:spacing w:val="40"/>
          <w:sz w:val="22"/>
          <w:szCs w:val="22"/>
        </w:rPr>
        <w:t xml:space="preserve">  ESERCIZI DI VERIFICA</w:t>
      </w:r>
    </w:p>
    <w:p>
      <w:pPr>
        <w:pStyle w:val="ListParagraph"/>
        <w:numPr>
          <w:ilvl w:val="0"/>
          <w:numId w:val="6"/>
        </w:numPr>
        <w:spacing w:after="90" w:line="284"/>
        <w:jc w:val="both"/>
      </w:pPr>
      <w:r>
        <w:rPr>
          <w:sz w:val="20"/>
          <w:szCs w:val="20"/>
        </w:rPr>
        <w:t xml:space="preserve">Distingui RAG e fine-tuning secondo il criterio «fatti contro comportamento», con un esempio per ciascuno.</w:t>
      </w:r>
    </w:p>
    <w:p>
      <w:pPr>
        <w:pStyle w:val="ListParagraph"/>
        <w:numPr>
          <w:ilvl w:val="0"/>
          <w:numId w:val="6"/>
        </w:numPr>
        <w:spacing w:after="90" w:line="284"/>
        <w:jc w:val="both"/>
      </w:pPr>
      <w:r>
        <w:rPr>
          <w:sz w:val="20"/>
          <w:szCs w:val="20"/>
        </w:rPr>
        <w:t xml:space="preserve">Cos'è l'overfitting? Perché il fine-tuning tradizionale vi è più esposto rispetto a LoRA?</w:t>
      </w:r>
    </w:p>
    <w:p>
      <w:pPr>
        <w:pStyle w:val="ListParagraph"/>
        <w:numPr>
          <w:ilvl w:val="0"/>
          <w:numId w:val="6"/>
        </w:numPr>
        <w:spacing w:after="90" w:line="284"/>
        <w:jc w:val="both"/>
      </w:pPr>
      <w:r>
        <w:rPr>
          <w:sz w:val="20"/>
          <w:szCs w:val="20"/>
        </w:rPr>
        <w:t xml:space="preserve">Spiega il meccanismo di LoRA: cosa viene congelato, cosa viene addestrato, cosa accade al termine.</w:t>
      </w:r>
    </w:p>
    <w:p>
      <w:pPr>
        <w:pStyle w:val="ListParagraph"/>
        <w:numPr>
          <w:ilvl w:val="0"/>
          <w:numId w:val="6"/>
        </w:numPr>
        <w:spacing w:after="90" w:line="284"/>
        <w:jc w:val="both"/>
      </w:pPr>
      <w:r>
        <w:rPr>
          <w:sz w:val="20"/>
          <w:szCs w:val="20"/>
        </w:rPr>
        <w:t xml:space="preserve">Qual è la relazione tra la «Q» di QLoRA e la quantizzazione studiata nel Capitolo 3 del manuale?</w:t>
      </w:r>
    </w:p>
    <w:p>
      <w:pPr>
        <w:pStyle w:val="ListParagraph"/>
        <w:numPr>
          <w:ilvl w:val="0"/>
          <w:numId w:val="6"/>
        </w:numPr>
        <w:spacing w:after="90" w:line="284"/>
        <w:jc w:val="both"/>
      </w:pPr>
      <w:r>
        <w:rPr>
          <w:sz w:val="20"/>
          <w:szCs w:val="20"/>
        </w:rPr>
        <w:t xml:space="preserve">Per il caso «interrogare i dossier PMI» e per il caso «un modello che risponde sempre nel mio stile», indica quale tecnica sceglieresti e perché.</w:t>
      </w:r>
    </w:p>
    <w:p>
      <w:pPr>
        <w:pageBreakBefore/>
        <w:spacing w:after="40" w:before="200"/>
      </w:pPr>
      <w:r>
        <w:rPr>
          <w:b/>
          <w:bCs/>
          <w:color w:val="1A2332"/>
          <w:sz w:val="26"/>
          <w:szCs w:val="26"/>
        </w:rPr>
        <w:t xml:space="preserve">Nota conclusiva dell'appendice</w:t>
      </w:r>
    </w:p>
    <w:p>
      <w:pPr>
        <w:pBdr>
          <w:bottom w:val="single" w:color="1F3A5F" w:sz="6" w:space="6"/>
        </w:pBdr>
        <w:spacing w:after="120"/>
      </w:pPr>
      <w:r>
        <w:rPr>
          <w:sz w:val="6"/>
          <w:szCs w:val="6"/>
        </w:rPr>
        <w:t xml:space="preserve"/>
      </w:r>
    </w:p>
    <w:p>
      <w:pPr>
        <w:spacing w:after="120" w:line="290"/>
        <w:jc w:val="both"/>
      </w:pPr>
      <w:r>
        <w:rPr>
          <w:sz w:val="21"/>
          <w:szCs w:val="21"/>
        </w:rPr>
        <w:t xml:space="preserve">Le quattro tecniche presentate — memoria riflessiva, ragionamento a grafo, imbracatura di affidabilità e adattamento del modello — illustrano le direzioni in cui evolve lo stack: verso la </w:t>
      </w:r>
      <w:r>
        <w:rPr>
          <w:i/>
          <w:iCs/>
          <w:sz w:val="21"/>
          <w:szCs w:val="21"/>
        </w:rPr>
        <w:t xml:space="preserve">continuità</w:t>
      </w:r>
      <w:r>
        <w:rPr>
          <w:sz w:val="21"/>
          <w:szCs w:val="21"/>
        </w:rPr>
        <w:t xml:space="preserve"> nel tempo, la </w:t>
      </w:r>
      <w:r>
        <w:rPr>
          <w:i/>
          <w:iCs/>
          <w:sz w:val="21"/>
          <w:szCs w:val="21"/>
        </w:rPr>
        <w:t xml:space="preserve">comprensione d'insieme</w:t>
      </w:r>
      <w:r>
        <w:rPr>
          <w:sz w:val="21"/>
          <w:szCs w:val="21"/>
        </w:rPr>
        <w:t xml:space="preserve">, l'</w:t>
      </w:r>
      <w:r>
        <w:rPr>
          <w:i/>
          <w:iCs/>
          <w:sz w:val="21"/>
          <w:szCs w:val="21"/>
        </w:rPr>
        <w:t xml:space="preserve">affidabilità</w:t>
      </w:r>
      <w:r>
        <w:rPr>
          <w:sz w:val="21"/>
          <w:szCs w:val="21"/>
        </w:rPr>
        <w:t xml:space="preserve"> operativa e la </w:t>
      </w:r>
      <w:r>
        <w:rPr>
          <w:i/>
          <w:iCs/>
          <w:sz w:val="21"/>
          <w:szCs w:val="21"/>
        </w:rPr>
        <w:t xml:space="preserve">personalizzazione</w:t>
      </w:r>
      <w:r>
        <w:rPr>
          <w:sz w:val="21"/>
          <w:szCs w:val="21"/>
        </w:rPr>
        <w:t xml:space="preserve"> del modello. Tutte estendono, senza sostituirlo, l'impianto studiato nel manuale.</w:t>
      </w:r>
    </w:p>
    <w:p>
      <w:pPr>
        <w:spacing w:after="120" w:line="290"/>
        <w:jc w:val="both"/>
      </w:pPr>
      <w:r>
        <w:rPr>
          <w:sz w:val="21"/>
          <w:szCs w:val="21"/>
        </w:rPr>
        <w:t xml:space="preserve">Il messaggio metodologico che unisce le appendici è lo stesso del manuale: queste tecniche non vanno adottate perché esistono o perché sono brillanti, ma perché un limite concreto del sistema esistente le rende necessarie. Un'architettura ben progettata non è quella che incorpora ogni tecnica disponibile, ma quella che lascia lo spazio giusto per accoglierle </w:t>
      </w:r>
      <w:r>
        <w:rPr>
          <w:i/>
          <w:iCs/>
          <w:sz w:val="21"/>
          <w:szCs w:val="21"/>
        </w:rPr>
        <w:t xml:space="preserve">quando</w:t>
      </w:r>
      <w:r>
        <w:rPr>
          <w:sz w:val="21"/>
          <w:szCs w:val="21"/>
        </w:rPr>
        <w:t xml:space="preserve"> servono. Il sistema costruito nel manuale ha, per progetto, questo spazio.</w:t>
      </w:r>
    </w:p>
    <w:p>
      <w:pPr>
        <w:pBdr>
          <w:bottom w:val="single" w:color="2E6E9E" w:sz="6" w:space="1"/>
        </w:pBdr>
        <w:spacing w:after="120" w:before="40"/>
      </w:pPr>
      <w:r>
        <w:rPr>
          <w:sz w:val="2"/>
          <w:szCs w:val="2"/>
        </w:rPr>
        <w:t xml:space="preserve"/>
      </w:r>
    </w:p>
    <w:p>
      <w:pPr>
        <w:spacing w:after="120" w:line="290"/>
        <w:jc w:val="both"/>
      </w:pPr>
      <w:r>
        <w:rPr>
          <w:sz w:val="21"/>
          <w:szCs w:val="21"/>
        </w:rPr>
        <w:t xml:space="preserve">Riferimenti (da verificare alla fonte, per loro natura in evoluzione): la letteratura sulla Reflective Memory Management; la ricerca sul ragionamento a grafo applicato al RAG; i materiali sull'ingegneria dell'affidabilità e l'osservabilità dei sistemi LLM; la documentazione su fine-tuning efficiente, LoRA e QLoRA (fra cui l'articolo Red Hat «Confronto tra LoRA e QLoRA»). Trattandosi in parte di ricerca recente, si raccomanda di verificare stato di manutenzione, licenze e requisiti prima di qualunque adozione.</w:t>
      </w:r>
    </w:p>
    <w:sectPr>
      <w:headerReference w:type="default" r:id="rId7"/>
      <w:footerReference w:type="default" r:id="rId8"/>
      <w:pgSz w:w="11906" w:h="16838" w:orient="portrait"/>
      <w:pgMar w:top="1150" w:right="1200" w:bottom="11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E" w:sz="2" w:space="6"/>
      </w:pBdr>
      <w:jc w:val="center"/>
    </w:pPr>
    <w:r>
      <w:rPr>
        <w:color w:val="6A7280"/>
        <w:sz w:val="16"/>
        <w:szCs w:val="16"/>
      </w:rPr>
      <w:t xml:space="preserve">LLM in Locale — Appendice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4B0"/>
        <w:sz w:val="15"/>
        <w:szCs w:val="15"/>
      </w:rPr>
      <w:t xml:space="preserve">Appendice — Tecniche di Frontiera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55bc6003b6419f6be146a90f3c0a79fce342d5.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2026-08-26T09:12:11.498Z</dcterms:created>
  <dcterms:modified xsi:type="dcterms:W3CDTF">2026-08-26T09:12:11.514Z</dcterms:modified>
</cp:coreProperties>
</file>

<file path=docProps/custom.xml><?xml version="1.0" encoding="utf-8"?>
<Properties xmlns="http://schemas.openxmlformats.org/officeDocument/2006/custom-properties" xmlns:vt="http://schemas.openxmlformats.org/officeDocument/2006/docPropsVTypes"/>
</file>