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 w:hAnsi="Lib\"/>
          <w:sz w:val="18"/>
          <w:szCs w:val="18"/>
        </w:rPr>
      </w:pPr>
      <w:r>
        <w:rPr>
          <w:rFonts w:ascii="Lib\" w:hAnsi="Lib\"/>
          <w:sz w:val="18"/>
          <w:szCs w:val="18"/>
        </w:rPr>
        <w:t xml:space="preserve">The advancement of natural security by methods for law and strategy in the EU has been a long and winding street. It began during the 1970s with the Commission's First Correspondence on Natural Approach.  Simply a year after the arrival of the Unified Countries Brundtland Report Our Basic Future, the European Gathering started its day of work from simple natural assurance towards reasonable turn of events.  It took very nearly 10 years, in any case, before practical advancement was officially coordinated into the European lawful request. In 1997, maintainable advancement got one of the targets of the European People group in the Arrangement of Amsterdam.  In spite of the fact that the Deal didn't characterize the idea, it alluded to it as an overall rule with the suggestions that meaning may have in the European legitimate request. In spite of the fact that the idea was not straightforwardly connected with the climate, Part States remembered for the Settlement a different, significant level of assurance standard according to the climate. Given the conventional fuse of supportable improvement in the arrangements, the EU organizations started a forceful authoritative program dependent on their Fifth Natural Program "on the survey of the European People group program of strategy and activity comparable to the climate and maintainable advancement 'Towards Manageability'."  The European Association had moved from the idea of ecological assurance to that of natural manageability by moving its "center from the impacts of the utilization of characteristic assets in the advancement cycle that are earth dam-maturing to the maintainable utilization of regular assets overall." </w:t>
      </w:r>
    </w:p>
    <w:p>
      <w:pPr>
        <w:pStyle w:val="Normal"/>
        <w:bidi w:val="0"/>
        <w:spacing w:lineRule="auto" w:line="480"/>
        <w:jc w:val="left"/>
        <w:rPr>
          <w:rFonts w:ascii="Lib\" w:hAnsi="Lib\"/>
          <w:sz w:val="18"/>
          <w:szCs w:val="18"/>
        </w:rPr>
      </w:pPr>
      <w:r>
        <w:rPr>
          <w:rFonts w:ascii="Lib\" w:hAnsi="Lib\"/>
          <w:sz w:val="18"/>
          <w:szCs w:val="18"/>
        </w:rPr>
      </w:r>
    </w:p>
    <w:p>
      <w:pPr>
        <w:pStyle w:val="Normal"/>
        <w:bidi w:val="0"/>
        <w:spacing w:lineRule="auto" w:line="480"/>
        <w:jc w:val="left"/>
        <w:rPr>
          <w:rFonts w:ascii="Lib\" w:hAnsi="Lib\"/>
          <w:sz w:val="18"/>
          <w:szCs w:val="18"/>
        </w:rPr>
      </w:pPr>
      <w:r>
        <w:rPr>
          <w:rFonts w:ascii="Lib\" w:hAnsi="Lib\"/>
          <w:sz w:val="18"/>
          <w:szCs w:val="18"/>
        </w:rPr>
        <w:t>Maybe realizing that the news emerging from the Rio + 10 Report was not going to be complimenting, a couple of months prior to giving the Report the Commission had divulged its 6th Natural Activity Program (6EAP),  which likewise engaged in the idea of ecological maintainability instead of manageable turn of events. This Program underlined the utilization of the reconciliation guideline of Article 11 of the Settlement on the Working of the European Association (TFEU)  as the fundamental device to consolidate the Association's natural objectives into its enactment. The Program "likewise recognized the significance of straightforwardness, admittance to ecological data and public support in natural dynamic."  A 2010 Report delivered by the European Establishment for Ecological Approach reaches not exactly good determinations with respect to the accomplishments and possibilities of the 6EAP. The Report addressed whether the activities taken at the Part State level were more capable than the Commission's 6EAP for the couple of paradigmatic changes to the lawful insurance of the climate executed since the Rio + 10 report.  As it remains as of now, the Arrangement on the European Association (TEU), in its Article 3(3), commands the foundation of an inside market dependent on the economical improvement of Europe.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1</Pages>
  <Words>462</Words>
  <Characters>2551</Characters>
  <CharactersWithSpaces>3020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2020-11-09T18:41:13Z</dcterms:created>
  <dc:creator/>
  <dc:description/>
  <dc:language>en-US</dc:language>
  <cp:lastModifiedBy/>
  <dcterms:modified xsi:type="dcterms:W3CDTF">2020-11-09T19:02:58Z</dcterms:modified>
  <cp:revision>2</cp:revision>
  <dc:subject/>
  <dc:title/>
</cp:coreProperties>
</file>