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Company Annual Sales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Year Ended December 31,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company had a record-breaking year in 2023, with sales of $100 million, an increase of 25% over the previous year. This growth was driven by strong demand for our products and services in all of our markets.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Sales by Product Category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top-selling product category in 2023 was widgets, which accounted for $40 million of sales. This was followed by gadgets, with $30 million in sales, and gizmos, with $20 million in sales.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Sales by Geographic Region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largest geographic market in 2023 was North America, with $50 million in sales. This was followed by Europe, with $30 million in sales, and Asia, with $20 million in sales.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Sales Trends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sales have grown steadily over the past five years, at an average annual rate of 20%. We expect this growth to continue in the coming years.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are pleased with our performance in 2023 and are confident that we can continue to grow our business in the coming years. We are grateful to our customers, employees, and partners for their support.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