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F43CD" w14:textId="31DD7DA4" w:rsidR="00FF7B33" w:rsidRPr="00951C77" w:rsidRDefault="007F4EED" w:rsidP="00951C77">
      <w:pPr>
        <w:pStyle w:val="Title"/>
      </w:pPr>
      <w:r>
        <w:t xml:space="preserve">Project </w:t>
      </w:r>
      <w:r w:rsidR="00D2193A">
        <w:t>6</w:t>
      </w:r>
    </w:p>
    <w:p w14:paraId="5F871ED8" w14:textId="7DA15164" w:rsidR="00FF7B33" w:rsidRPr="00FF7B33" w:rsidRDefault="007F4EED" w:rsidP="00126D77">
      <w:pPr>
        <w:pStyle w:val="Subtitle"/>
      </w:pPr>
      <w:r>
        <w:t xml:space="preserve">Yingjie </w:t>
      </w:r>
      <w:proofErr w:type="spellStart"/>
      <w:r>
        <w:t>Qiu</w:t>
      </w:r>
      <w:proofErr w:type="spellEnd"/>
      <w:r w:rsidR="00FF7B33">
        <w:br/>
      </w:r>
      <w:r>
        <w:t>yqiu322</w:t>
      </w:r>
      <w:r w:rsidR="00FF7B33" w:rsidRPr="00FF7B33">
        <w:t>@</w:t>
      </w:r>
      <w:r w:rsidR="00FD25E7">
        <w:t>gatech.edu</w:t>
      </w:r>
    </w:p>
    <w:p w14:paraId="7332A6F5" w14:textId="0C5FA412" w:rsidR="00AB1709" w:rsidRDefault="00AB1709">
      <w:pPr>
        <w:pStyle w:val="Heading1"/>
      </w:pPr>
      <w:r>
        <w:t>INDICATORS</w:t>
      </w:r>
    </w:p>
    <w:p w14:paraId="1FA4E9FE" w14:textId="19C68DB7" w:rsidR="000558BE" w:rsidRDefault="00AB1709" w:rsidP="00AB1709">
      <w:r>
        <w:t>The first part of this report investigated 5 common technical indicators and described the method we used for calculations. The stock prices were predicted based on historical data through these technical indicators</w:t>
      </w:r>
      <w:r w:rsidR="000558BE">
        <w:t xml:space="preserve"> with symbol JPM. The 5 indicators are Simple Moving Average (SMA), Bollinger Bands, Exponential Moving Average (EMA), Momentum, and Moving Average Convergence Divergence (MACD). We set the window size (lookback) to be 14 days, start data is 01/01/2008, and end date is 12/31/2009.</w:t>
      </w:r>
    </w:p>
    <w:p w14:paraId="029F2F60" w14:textId="4FD3E800" w:rsidR="00FF32F9" w:rsidRDefault="00FF32F9">
      <w:pPr>
        <w:pStyle w:val="Heading2"/>
        <w:numPr>
          <w:ilvl w:val="1"/>
          <w:numId w:val="2"/>
        </w:numPr>
      </w:pPr>
      <w:r>
        <w:t>Simple Moving Averages (SMA)</w:t>
      </w:r>
    </w:p>
    <w:p w14:paraId="16C2F23E" w14:textId="792E3136" w:rsidR="00FF32F9" w:rsidRDefault="00FF32F9" w:rsidP="00FF32F9">
      <w:pPr>
        <w:pStyle w:val="ListParagraph"/>
        <w:ind w:left="0"/>
      </w:pPr>
      <w:r>
        <w:t xml:space="preserve">SMA is a technical indicator based on rolling mean of stock prices over a time rolling window. </w:t>
      </w:r>
      <w:r w:rsidRPr="00FF32F9">
        <w:t>Simple moving averages take the average of a price range and divide it by the number of periods within that range. A simple moving average is a technical indicator that can help predict whether an asset price will continue or reverse a bull or bear trend.</w:t>
      </w:r>
    </w:p>
    <w:p w14:paraId="7C22CC04" w14:textId="5DF9A8C4" w:rsidR="00FF32F9" w:rsidRDefault="00FF32F9" w:rsidP="00FF32F9">
      <w:pPr>
        <w:pStyle w:val="ListParagraph"/>
        <w:ind w:left="0"/>
      </w:pPr>
    </w:p>
    <w:p w14:paraId="4DCC5606" w14:textId="71970058" w:rsidR="00FF32F9" w:rsidRPr="00FF32F9" w:rsidRDefault="00FF32F9" w:rsidP="00FF32F9">
      <w:pPr>
        <w:pStyle w:val="ListParagraph"/>
        <w:ind w:left="0"/>
      </w:pPr>
      <w:r w:rsidRPr="00FF32F9">
        <w:t xml:space="preserve">To quantify SMA, the current price and SMA are used to calculate the ratio </w:t>
      </w:r>
      <w:r>
        <w:t xml:space="preserve">between </w:t>
      </w:r>
      <w:r w:rsidRPr="00FF32F9">
        <w:t>Price</w:t>
      </w:r>
      <w:r>
        <w:t xml:space="preserve"> and </w:t>
      </w:r>
      <w:r w:rsidRPr="00FF32F9">
        <w:t xml:space="preserve">SMA; </w:t>
      </w:r>
      <w:r w:rsidR="0069342B">
        <w:t>if stock price goes up and crosses SMA, the stock may show an uptrend (BUY signal); if the stock price goes up and far below SMA, the stock may be heading to SMA (BUY signal); if the stock price goes down and above SMA, t</w:t>
      </w:r>
      <w:r w:rsidR="0069342B" w:rsidRPr="0069342B">
        <w:t>he stock may be descending toward the SMA, indicating a SELL or SHORT signal</w:t>
      </w:r>
      <w:r w:rsidR="0069342B">
        <w:t xml:space="preserve">; </w:t>
      </w:r>
      <w:r w:rsidR="00671B2B">
        <w:t>if s</w:t>
      </w:r>
      <w:r w:rsidR="00671B2B" w:rsidRPr="00671B2B">
        <w:t xml:space="preserve">tock price falls and crosses SMA </w:t>
      </w:r>
      <w:r w:rsidR="00671B2B">
        <w:t>, t</w:t>
      </w:r>
      <w:r w:rsidR="00671B2B" w:rsidRPr="00671B2B">
        <w:t xml:space="preserve">he stock may be in a downtrend, </w:t>
      </w:r>
      <w:r w:rsidR="00671B2B">
        <w:t xml:space="preserve">and </w:t>
      </w:r>
      <w:r w:rsidR="00671B2B" w:rsidRPr="00671B2B">
        <w:t>it could be a SELL or SHORT signal.</w:t>
      </w:r>
    </w:p>
    <w:p w14:paraId="74A20434" w14:textId="1C615626" w:rsidR="000558BE" w:rsidRDefault="00062914" w:rsidP="00EF6691">
      <w:pPr>
        <w:spacing w:line="240" w:lineRule="auto"/>
        <w:jc w:val="center"/>
      </w:pPr>
      <w:r>
        <w:rPr>
          <w:noProof/>
          <w14:ligatures w14:val="none"/>
          <w14:numForm w14:val="default"/>
          <w14:numSpacing w14:val="default"/>
        </w:rPr>
        <w:lastRenderedPageBreak/>
        <w:drawing>
          <wp:inline distT="0" distB="0" distL="0" distR="0" wp14:anchorId="12BD4F39" wp14:editId="45244B16">
            <wp:extent cx="5029200" cy="3771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5D32AA66" w14:textId="7C941D35" w:rsidR="00062914" w:rsidRPr="00062914" w:rsidRDefault="00062914" w:rsidP="00062914">
      <w:pPr>
        <w:pStyle w:val="ListParagraph"/>
        <w:ind w:left="0"/>
        <w:jc w:val="center"/>
        <w:rPr>
          <w:b/>
          <w:bCs/>
          <w:i/>
          <w:iCs/>
        </w:rPr>
      </w:pPr>
      <w:r w:rsidRPr="00062914">
        <w:rPr>
          <w:b/>
          <w:bCs/>
          <w:i/>
          <w:iCs/>
        </w:rPr>
        <w:t>Figure 1</w:t>
      </w:r>
    </w:p>
    <w:p w14:paraId="7FBA504E" w14:textId="4CCE48EA" w:rsidR="00062914" w:rsidRDefault="00062914">
      <w:pPr>
        <w:pStyle w:val="Heading2"/>
        <w:numPr>
          <w:ilvl w:val="1"/>
          <w:numId w:val="2"/>
        </w:numPr>
      </w:pPr>
      <w:r>
        <w:t>Bollinger Bands</w:t>
      </w:r>
    </w:p>
    <w:p w14:paraId="20D0085C" w14:textId="3D52AC1C" w:rsidR="00062914" w:rsidRPr="00062914" w:rsidRDefault="00062914" w:rsidP="00062914">
      <w:r w:rsidRPr="00062914">
        <w:t>Bollinger Bands are</w:t>
      </w:r>
      <w:r>
        <w:t xml:space="preserve"> developed by</w:t>
      </w:r>
      <w:r w:rsidRPr="00062914">
        <w:t xml:space="preserve"> John Bollinger</w:t>
      </w:r>
      <w:r>
        <w:t xml:space="preserve"> as a</w:t>
      </w:r>
      <w:r w:rsidRPr="00062914">
        <w:t xml:space="preserve"> technical analysis tool for generating oversold or overbought signals.</w:t>
      </w:r>
      <w:r>
        <w:t xml:space="preserve"> </w:t>
      </w:r>
      <w:r w:rsidRPr="00062914">
        <w:t>Bollinger Bands are made up of three lines: a simple moving average (middle band), an upper and lower band, and a trend line. The upper and lower bands are typically 2 standard deviations +/- from the center line. When the price repeatedly touches the upper Bollinger Band, it may indicate an overbought signal, whereas repeatedly touching the lower Bollinger Band may indicate an oversold signal.</w:t>
      </w:r>
    </w:p>
    <w:p w14:paraId="765598A7" w14:textId="77777777" w:rsidR="00062914" w:rsidRPr="00062914" w:rsidRDefault="00062914" w:rsidP="00EF6691">
      <w:pPr>
        <w:spacing w:line="240" w:lineRule="auto"/>
      </w:pPr>
    </w:p>
    <w:p w14:paraId="7F576FF9" w14:textId="66C14EEA" w:rsidR="00671B2B" w:rsidRDefault="00671B2B" w:rsidP="00AB1709"/>
    <w:p w14:paraId="20FD4DE3" w14:textId="77653762" w:rsidR="00671B2B" w:rsidRDefault="00671B2B" w:rsidP="00062914">
      <w:pPr>
        <w:jc w:val="left"/>
      </w:pPr>
    </w:p>
    <w:p w14:paraId="484FA53A" w14:textId="32828B1F" w:rsidR="00671B2B" w:rsidRDefault="00671B2B" w:rsidP="00AB1709"/>
    <w:p w14:paraId="551FF110" w14:textId="103E0C03" w:rsidR="00671B2B" w:rsidRDefault="00671B2B" w:rsidP="00AB1709"/>
    <w:p w14:paraId="375F8244" w14:textId="661546DD" w:rsidR="0095206C" w:rsidRDefault="0095206C" w:rsidP="00AB1709"/>
    <w:p w14:paraId="594C7628" w14:textId="30638C66" w:rsidR="0095206C" w:rsidRDefault="00EF6691" w:rsidP="00EF6691">
      <w:pPr>
        <w:spacing w:line="240" w:lineRule="auto"/>
        <w:jc w:val="center"/>
      </w:pPr>
      <w:r>
        <w:rPr>
          <w:noProof/>
          <w14:ligatures w14:val="none"/>
          <w14:numForm w14:val="default"/>
          <w14:numSpacing w14:val="default"/>
        </w:rPr>
        <w:drawing>
          <wp:inline distT="0" distB="0" distL="0" distR="0" wp14:anchorId="760DE929" wp14:editId="504F5024">
            <wp:extent cx="5029200" cy="3771900"/>
            <wp:effectExtent l="0" t="0" r="0" b="0"/>
            <wp:docPr id="7" name="Picture 7"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hist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3B49F913" w14:textId="342441DA" w:rsidR="00EF6691" w:rsidRPr="00062914" w:rsidRDefault="00EF6691" w:rsidP="00EF6691">
      <w:pPr>
        <w:pStyle w:val="ListParagraph"/>
        <w:ind w:left="0"/>
        <w:jc w:val="center"/>
        <w:rPr>
          <w:b/>
          <w:bCs/>
          <w:i/>
          <w:iCs/>
        </w:rPr>
      </w:pPr>
      <w:r w:rsidRPr="00062914">
        <w:rPr>
          <w:b/>
          <w:bCs/>
          <w:i/>
          <w:iCs/>
        </w:rPr>
        <w:t xml:space="preserve">Figure </w:t>
      </w:r>
      <w:r>
        <w:rPr>
          <w:b/>
          <w:bCs/>
          <w:i/>
          <w:iCs/>
        </w:rPr>
        <w:t>2</w:t>
      </w:r>
    </w:p>
    <w:p w14:paraId="54392CE8" w14:textId="28E44B68" w:rsidR="00EF6691" w:rsidRDefault="00EF6691">
      <w:pPr>
        <w:pStyle w:val="Heading2"/>
        <w:numPr>
          <w:ilvl w:val="1"/>
          <w:numId w:val="2"/>
        </w:numPr>
      </w:pPr>
      <w:r>
        <w:t>Exponential</w:t>
      </w:r>
      <w:r>
        <w:t xml:space="preserve"> Moving Averages (</w:t>
      </w:r>
      <w:r>
        <w:t>E</w:t>
      </w:r>
      <w:r>
        <w:t>MA)</w:t>
      </w:r>
    </w:p>
    <w:p w14:paraId="5AF2E099" w14:textId="2A6EC71D" w:rsidR="0095206C" w:rsidRDefault="00EF6691" w:rsidP="00AB1709">
      <w:r w:rsidRPr="00EF6691">
        <w:t>Exponential Moving Average (EMA) and Simple Moving Average (SMA) both measure trend direction over time. However, whereas SMA simply computes an average of price data, EMA gives more weight to more recent data. Because of its unique calculation, the EMA will track prices more closely than a SMA.</w:t>
      </w:r>
      <w:r>
        <w:t xml:space="preserve"> </w:t>
      </w:r>
      <w:r w:rsidRPr="00EF6691">
        <w:t xml:space="preserve">When interpreting EMA, apply the same rules that apply to SMA. </w:t>
      </w:r>
      <w:r>
        <w:t xml:space="preserve">However, </w:t>
      </w:r>
      <w:r w:rsidRPr="00EF6691">
        <w:t xml:space="preserve">EMA is more sensitive to price movement in general. </w:t>
      </w:r>
      <w:r>
        <w:t xml:space="preserve">By using this benefit, </w:t>
      </w:r>
      <w:r w:rsidRPr="00EF6691">
        <w:t>it can help</w:t>
      </w:r>
      <w:r>
        <w:t xml:space="preserve"> us</w:t>
      </w:r>
      <w:r w:rsidRPr="00EF6691">
        <w:t xml:space="preserve"> identify trends faster than a SMA. </w:t>
      </w:r>
      <w:r>
        <w:t xml:space="preserve">But </w:t>
      </w:r>
      <w:r w:rsidRPr="00EF6691">
        <w:t>the EMA is likely to experience more short-term changes than a corresponding SMA.</w:t>
      </w:r>
    </w:p>
    <w:p w14:paraId="233E97CA" w14:textId="77777777" w:rsidR="0095206C" w:rsidRDefault="0095206C" w:rsidP="00AB1709"/>
    <w:p w14:paraId="6E16484F" w14:textId="0D4B18A2" w:rsidR="00671B2B" w:rsidRPr="00AB1709" w:rsidRDefault="00671B2B" w:rsidP="00AB1709"/>
    <w:p w14:paraId="49DFA027" w14:textId="0C064A82" w:rsidR="00772198" w:rsidRDefault="00EF6691" w:rsidP="00EF6691">
      <w:pPr>
        <w:pStyle w:val="Heading2"/>
        <w:jc w:val="center"/>
      </w:pPr>
      <w:r>
        <w:rPr>
          <w:noProof/>
          <w14:ligatures w14:val="none"/>
          <w14:numForm w14:val="default"/>
          <w14:numSpacing w14:val="default"/>
        </w:rPr>
        <w:lastRenderedPageBreak/>
        <w:drawing>
          <wp:inline distT="0" distB="0" distL="0" distR="0" wp14:anchorId="68651067" wp14:editId="7C5DEE4D">
            <wp:extent cx="5029200" cy="37719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0">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2C77C914" w14:textId="73500208" w:rsidR="00EF6691" w:rsidRDefault="00EF6691" w:rsidP="00EF6691">
      <w:pPr>
        <w:pStyle w:val="ListParagraph"/>
        <w:ind w:left="0"/>
        <w:jc w:val="center"/>
        <w:rPr>
          <w:b/>
          <w:bCs/>
          <w:i/>
          <w:iCs/>
        </w:rPr>
      </w:pPr>
      <w:r w:rsidRPr="00062914">
        <w:rPr>
          <w:b/>
          <w:bCs/>
          <w:i/>
          <w:iCs/>
        </w:rPr>
        <w:t xml:space="preserve">Figure </w:t>
      </w:r>
      <w:r>
        <w:rPr>
          <w:b/>
          <w:bCs/>
          <w:i/>
          <w:iCs/>
        </w:rPr>
        <w:t>3</w:t>
      </w:r>
    </w:p>
    <w:p w14:paraId="5F6ADF8C" w14:textId="77777777" w:rsidR="00EF6691" w:rsidRPr="00062914" w:rsidRDefault="00EF6691" w:rsidP="00EF6691">
      <w:pPr>
        <w:pStyle w:val="ListParagraph"/>
        <w:ind w:left="0"/>
        <w:jc w:val="left"/>
        <w:rPr>
          <w:b/>
          <w:bCs/>
          <w:i/>
          <w:iCs/>
        </w:rPr>
      </w:pPr>
    </w:p>
    <w:p w14:paraId="022DDC3B" w14:textId="7AF088F7" w:rsidR="00EF6691" w:rsidRDefault="00EF6691">
      <w:pPr>
        <w:pStyle w:val="Heading2"/>
        <w:numPr>
          <w:ilvl w:val="1"/>
          <w:numId w:val="2"/>
        </w:numPr>
        <w:jc w:val="left"/>
      </w:pPr>
      <w:r>
        <w:t>Momentum</w:t>
      </w:r>
    </w:p>
    <w:p w14:paraId="69AF1C37" w14:textId="4AE3F0A8" w:rsidR="00645E32" w:rsidRDefault="00552F71" w:rsidP="00552F71">
      <w:pPr>
        <w:jc w:val="left"/>
      </w:pPr>
      <w:r w:rsidRPr="00552F71">
        <w:t>Momentum depicts the rate of change in price movement over time to assist investors in determining the strength of a trend. Investors use momentum to trade stocks in an uptrend by going long (buying shares) and short (selling shares) in a downtrend. If momentum exceeds a predetermined threshold, it indicates that the stock is rapidly accelerating, and a BUY signal can be issued, or a SELL signal if the situation is reversed.</w:t>
      </w:r>
    </w:p>
    <w:p w14:paraId="259429C2" w14:textId="56792CC1" w:rsidR="00552F71" w:rsidRDefault="00552F71" w:rsidP="00552F71">
      <w:pPr>
        <w:spacing w:line="240" w:lineRule="auto"/>
        <w:jc w:val="center"/>
      </w:pPr>
      <w:r>
        <w:rPr>
          <w:noProof/>
          <w14:ligatures w14:val="none"/>
          <w14:numForm w14:val="default"/>
          <w14:numSpacing w14:val="default"/>
        </w:rPr>
        <w:lastRenderedPageBreak/>
        <w:drawing>
          <wp:inline distT="0" distB="0" distL="0" distR="0" wp14:anchorId="21BB0269" wp14:editId="59BEF53B">
            <wp:extent cx="5029200" cy="3771900"/>
            <wp:effectExtent l="0" t="0" r="0" b="0"/>
            <wp:docPr id="9" name="Picture 9"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line chart, histogra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5E605B1A" w14:textId="6A6FDA84" w:rsidR="00552F71" w:rsidRDefault="00552F71" w:rsidP="00552F71">
      <w:pPr>
        <w:pStyle w:val="ListParagraph"/>
        <w:ind w:left="0"/>
        <w:jc w:val="center"/>
        <w:rPr>
          <w:b/>
          <w:bCs/>
          <w:i/>
          <w:iCs/>
        </w:rPr>
      </w:pPr>
      <w:r w:rsidRPr="00062914">
        <w:rPr>
          <w:b/>
          <w:bCs/>
          <w:i/>
          <w:iCs/>
        </w:rPr>
        <w:t xml:space="preserve">Figure </w:t>
      </w:r>
      <w:r>
        <w:rPr>
          <w:b/>
          <w:bCs/>
          <w:i/>
          <w:iCs/>
        </w:rPr>
        <w:t>4</w:t>
      </w:r>
    </w:p>
    <w:p w14:paraId="601EDE21" w14:textId="77777777" w:rsidR="00552F71" w:rsidRPr="00552F71" w:rsidRDefault="00552F71" w:rsidP="00552F71">
      <w:pPr>
        <w:pStyle w:val="ListParagraph"/>
        <w:ind w:left="0"/>
        <w:jc w:val="left"/>
        <w:rPr>
          <w:b/>
          <w:bCs/>
          <w:i/>
          <w:iCs/>
        </w:rPr>
      </w:pPr>
    </w:p>
    <w:p w14:paraId="27B2328C" w14:textId="337256AE" w:rsidR="00552F71" w:rsidRPr="00552F71" w:rsidRDefault="00552F71">
      <w:pPr>
        <w:pStyle w:val="Heading2"/>
        <w:numPr>
          <w:ilvl w:val="1"/>
          <w:numId w:val="2"/>
        </w:numPr>
        <w:jc w:val="left"/>
        <w:rPr>
          <w:rFonts w:eastAsia="Times New Roman" w:cs="Times New Roman"/>
          <w:bCs/>
          <w:color w:val="auto"/>
        </w:rPr>
      </w:pPr>
      <w:r w:rsidRPr="00552F71">
        <w:rPr>
          <w:rFonts w:eastAsia="Times New Roman" w:cs="Times New Roman"/>
          <w:bCs/>
          <w:color w:val="auto"/>
        </w:rPr>
        <w:t>Moving Average Convergence Divergence (MACD</w:t>
      </w:r>
      <w:r w:rsidRPr="00552F71">
        <w:rPr>
          <w:rFonts w:eastAsia="Times New Roman" w:cs="Times New Roman"/>
          <w:bCs/>
          <w:color w:val="auto"/>
        </w:rPr>
        <w:t>)</w:t>
      </w:r>
    </w:p>
    <w:p w14:paraId="01B6D6F0" w14:textId="5DF39F2D" w:rsidR="00552F71" w:rsidRDefault="00552F71" w:rsidP="00552F71">
      <w:pPr>
        <w:spacing w:line="240" w:lineRule="auto"/>
        <w:jc w:val="left"/>
      </w:pPr>
      <w:r w:rsidRPr="00552F71">
        <w:t>Moving average convergence</w:t>
      </w:r>
      <w:r>
        <w:t xml:space="preserve"> </w:t>
      </w:r>
      <w:r w:rsidRPr="00552F71">
        <w:t>divergence (MACD) is a trend-following momentum indicator that depicts the relationship between two exponential moving averages (EMAs) of a security's price. The MACD line is calculated by subtracting the 26-period EMA from the 12-period EMA.</w:t>
      </w:r>
      <w:r>
        <w:t xml:space="preserve"> </w:t>
      </w:r>
      <w:r w:rsidRPr="00552F71">
        <w:t>MACD generates technical signals when the MACD line crosses above the signal line (buy) or below it (sell).</w:t>
      </w:r>
    </w:p>
    <w:p w14:paraId="5FF3C70A" w14:textId="1EBE14AB" w:rsidR="00552F71" w:rsidRDefault="00552F71" w:rsidP="00552F71">
      <w:pPr>
        <w:spacing w:line="240" w:lineRule="auto"/>
        <w:jc w:val="left"/>
      </w:pPr>
      <w:r>
        <w:rPr>
          <w:noProof/>
          <w14:ligatures w14:val="none"/>
          <w14:numForm w14:val="default"/>
          <w14:numSpacing w14:val="default"/>
        </w:rPr>
        <w:lastRenderedPageBreak/>
        <w:drawing>
          <wp:inline distT="0" distB="0" distL="0" distR="0" wp14:anchorId="6994EBA2" wp14:editId="695E043E">
            <wp:extent cx="5029200" cy="3771900"/>
            <wp:effectExtent l="0" t="0" r="0" b="0"/>
            <wp:docPr id="10" name="Picture 10" descr="Chart, line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line chart, hist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200" cy="3771900"/>
                    </a:xfrm>
                    <a:prstGeom prst="rect">
                      <a:avLst/>
                    </a:prstGeom>
                  </pic:spPr>
                </pic:pic>
              </a:graphicData>
            </a:graphic>
          </wp:inline>
        </w:drawing>
      </w:r>
    </w:p>
    <w:p w14:paraId="0BEADFB0" w14:textId="4D2F93C2" w:rsidR="00552F71" w:rsidRDefault="00552F71" w:rsidP="00552F71">
      <w:pPr>
        <w:pStyle w:val="ListParagraph"/>
        <w:ind w:left="0"/>
        <w:jc w:val="center"/>
        <w:rPr>
          <w:b/>
          <w:bCs/>
          <w:i/>
          <w:iCs/>
        </w:rPr>
      </w:pPr>
      <w:r w:rsidRPr="00062914">
        <w:rPr>
          <w:b/>
          <w:bCs/>
          <w:i/>
          <w:iCs/>
        </w:rPr>
        <w:t xml:space="preserve">Figure </w:t>
      </w:r>
      <w:r>
        <w:rPr>
          <w:b/>
          <w:bCs/>
          <w:i/>
          <w:iCs/>
        </w:rPr>
        <w:t>5</w:t>
      </w:r>
    </w:p>
    <w:p w14:paraId="35445CFB" w14:textId="1AAFEB6B" w:rsidR="00C33F44" w:rsidRDefault="00C33F44" w:rsidP="00552F71">
      <w:pPr>
        <w:pStyle w:val="ListParagraph"/>
        <w:ind w:left="0"/>
        <w:jc w:val="center"/>
        <w:rPr>
          <w:b/>
          <w:bCs/>
          <w:i/>
          <w:iCs/>
        </w:rPr>
      </w:pPr>
    </w:p>
    <w:p w14:paraId="21484E4A" w14:textId="77777777" w:rsidR="00C33F44" w:rsidRPr="00C33F44" w:rsidRDefault="00C33F44">
      <w:pPr>
        <w:pStyle w:val="Heading1"/>
      </w:pPr>
      <w:r w:rsidRPr="00C33F44">
        <w:t>Theoretically Optimal Strategy (TOS)</w:t>
      </w:r>
    </w:p>
    <w:p w14:paraId="69E7205D" w14:textId="44F36203" w:rsidR="00C33F44" w:rsidRDefault="00C33F44" w:rsidP="00C33F44">
      <w:pPr>
        <w:pStyle w:val="ListParagraph"/>
        <w:ind w:left="0"/>
        <w:jc w:val="left"/>
      </w:pPr>
      <w:r w:rsidRPr="00C33F44">
        <w:t>The return on a stock over a time period can be maximized only if we know the stock at the end of the time period. In theory, if we know the price movement of a stock tomorrow, we can decide whether to BUY or SELL today.</w:t>
      </w:r>
      <w:r>
        <w:t xml:space="preserve"> </w:t>
      </w:r>
      <w:r w:rsidRPr="00C33F44">
        <w:t>If we believe the stock will rise tomorrow, we will BUY it today and SELL it today if we believe the stock will fall tomorrow; otherwise, we will HOLD it. This strategy ensures that we will profit from the stock price regardless of what happens to it.</w:t>
      </w:r>
      <w:r w:rsidR="00DE1045">
        <w:t xml:space="preserve"> The benchmark is buying the stock and hold it until a specific time period. I compare TOS and Benchmark strategy through the matrices below. </w:t>
      </w:r>
      <w:proofErr w:type="gramStart"/>
      <w:r w:rsidR="00DE1045">
        <w:t>It is clear that TOS</w:t>
      </w:r>
      <w:proofErr w:type="gramEnd"/>
      <w:r w:rsidR="00DE1045">
        <w:t xml:space="preserve"> overperform Benchmark strategy.</w:t>
      </w:r>
    </w:p>
    <w:p w14:paraId="6D17A184" w14:textId="3E9C3160" w:rsidR="00DE1045" w:rsidRDefault="00DE1045" w:rsidP="00C33F44">
      <w:pPr>
        <w:pStyle w:val="ListParagraph"/>
        <w:ind w:left="0"/>
        <w:jc w:val="left"/>
      </w:pPr>
    </w:p>
    <w:p w14:paraId="2C96C19E" w14:textId="07885F41" w:rsidR="00DE1045" w:rsidRPr="00DE1045" w:rsidRDefault="00DE1045" w:rsidP="00DE1045">
      <w:pPr>
        <w:pStyle w:val="TableCaption"/>
        <w:numPr>
          <w:ilvl w:val="0"/>
          <w:numId w:val="0"/>
        </w:numPr>
        <w:jc w:val="center"/>
        <w:rPr>
          <w:b/>
          <w:bCs w:val="0"/>
          <w:i/>
          <w:iCs/>
        </w:rPr>
      </w:pPr>
      <w:r w:rsidRPr="00DE1045">
        <w:rPr>
          <w:b/>
          <w:bCs w:val="0"/>
          <w:i/>
          <w:iCs/>
        </w:rPr>
        <w:t>Table 1</w:t>
      </w:r>
    </w:p>
    <w:tbl>
      <w:tblPr>
        <w:tblStyle w:val="JDF"/>
        <w:tblW w:w="0" w:type="auto"/>
        <w:tblLook w:val="04A0" w:firstRow="1" w:lastRow="0" w:firstColumn="1" w:lastColumn="0" w:noHBand="0" w:noVBand="1"/>
      </w:tblPr>
      <w:tblGrid>
        <w:gridCol w:w="2640"/>
        <w:gridCol w:w="2640"/>
        <w:gridCol w:w="2640"/>
      </w:tblGrid>
      <w:tr w:rsidR="00DE1045" w14:paraId="4019CFEC" w14:textId="77777777" w:rsidTr="00DE1045">
        <w:trPr>
          <w:cnfStyle w:val="100000000000" w:firstRow="1" w:lastRow="0" w:firstColumn="0" w:lastColumn="0" w:oddVBand="0" w:evenVBand="0" w:oddHBand="0" w:evenHBand="0" w:firstRowFirstColumn="0" w:firstRowLastColumn="0" w:lastRowFirstColumn="0" w:lastRowLastColumn="0"/>
        </w:trPr>
        <w:tc>
          <w:tcPr>
            <w:tcW w:w="2640" w:type="dxa"/>
          </w:tcPr>
          <w:p w14:paraId="49FC2455" w14:textId="77777777" w:rsidR="00DE1045" w:rsidRDefault="00DE1045" w:rsidP="00C33F44">
            <w:pPr>
              <w:pStyle w:val="ListParagraph"/>
              <w:ind w:left="0"/>
              <w:jc w:val="left"/>
            </w:pPr>
          </w:p>
        </w:tc>
        <w:tc>
          <w:tcPr>
            <w:tcW w:w="2640" w:type="dxa"/>
          </w:tcPr>
          <w:p w14:paraId="690AABB1" w14:textId="77777777" w:rsidR="00DE1045" w:rsidRDefault="00DE1045" w:rsidP="00C33F44">
            <w:pPr>
              <w:pStyle w:val="ListParagraph"/>
              <w:ind w:left="0"/>
              <w:jc w:val="left"/>
            </w:pPr>
          </w:p>
        </w:tc>
        <w:tc>
          <w:tcPr>
            <w:tcW w:w="2640" w:type="dxa"/>
          </w:tcPr>
          <w:p w14:paraId="596984D5" w14:textId="77777777" w:rsidR="00DE1045" w:rsidRDefault="00DE1045" w:rsidP="00C33F44">
            <w:pPr>
              <w:pStyle w:val="ListParagraph"/>
              <w:ind w:left="0"/>
              <w:jc w:val="left"/>
            </w:pPr>
          </w:p>
        </w:tc>
      </w:tr>
      <w:tr w:rsidR="00DE1045" w14:paraId="2A38F64D" w14:textId="77777777" w:rsidTr="00DE1045">
        <w:tblPrEx>
          <w:jc w:val="center"/>
        </w:tblPrEx>
        <w:tc>
          <w:tcPr>
            <w:tcW w:w="2640" w:type="dxa"/>
          </w:tcPr>
          <w:p w14:paraId="394A63D5" w14:textId="77777777" w:rsidR="00DE1045" w:rsidRDefault="00DE1045" w:rsidP="00C33F44">
            <w:pPr>
              <w:pStyle w:val="ListParagraph"/>
              <w:ind w:left="0"/>
              <w:jc w:val="left"/>
            </w:pPr>
          </w:p>
        </w:tc>
        <w:tc>
          <w:tcPr>
            <w:tcW w:w="2640" w:type="dxa"/>
          </w:tcPr>
          <w:p w14:paraId="75E4A6B6" w14:textId="0F09F5C8" w:rsidR="00DE1045" w:rsidRDefault="00DE1045" w:rsidP="00C33F44">
            <w:pPr>
              <w:pStyle w:val="ListParagraph"/>
              <w:ind w:left="0"/>
              <w:jc w:val="left"/>
            </w:pPr>
            <w:r>
              <w:t>TOS</w:t>
            </w:r>
          </w:p>
        </w:tc>
        <w:tc>
          <w:tcPr>
            <w:tcW w:w="2640" w:type="dxa"/>
          </w:tcPr>
          <w:p w14:paraId="5FDC8721" w14:textId="5D055CB0" w:rsidR="00DE1045" w:rsidRDefault="00DE1045" w:rsidP="00C33F44">
            <w:pPr>
              <w:pStyle w:val="ListParagraph"/>
              <w:ind w:left="0"/>
              <w:jc w:val="left"/>
            </w:pPr>
            <w:r>
              <w:t>Benchmark</w:t>
            </w:r>
          </w:p>
        </w:tc>
      </w:tr>
      <w:tr w:rsidR="00DE1045" w14:paraId="7B8C54C0" w14:textId="77777777" w:rsidTr="00DE1045">
        <w:tblPrEx>
          <w:jc w:val="center"/>
        </w:tblPrEx>
        <w:tc>
          <w:tcPr>
            <w:tcW w:w="2640" w:type="dxa"/>
          </w:tcPr>
          <w:p w14:paraId="664D9E5E" w14:textId="2B2A03A3" w:rsidR="00DE1045" w:rsidRDefault="00DE1045" w:rsidP="00C33F44">
            <w:pPr>
              <w:pStyle w:val="ListParagraph"/>
              <w:ind w:left="0"/>
              <w:jc w:val="left"/>
            </w:pPr>
            <w:r>
              <w:t>Cumulative Return</w:t>
            </w:r>
          </w:p>
        </w:tc>
        <w:tc>
          <w:tcPr>
            <w:tcW w:w="2640" w:type="dxa"/>
          </w:tcPr>
          <w:p w14:paraId="4AC17768" w14:textId="44587EB4" w:rsidR="00DE1045" w:rsidRDefault="00DE1045" w:rsidP="00C33F44">
            <w:pPr>
              <w:pStyle w:val="ListParagraph"/>
              <w:ind w:left="0"/>
              <w:jc w:val="left"/>
            </w:pPr>
            <w:r>
              <w:t>5.7861</w:t>
            </w:r>
          </w:p>
        </w:tc>
        <w:tc>
          <w:tcPr>
            <w:tcW w:w="2640" w:type="dxa"/>
          </w:tcPr>
          <w:p w14:paraId="7B0EA2E6" w14:textId="209738E8" w:rsidR="00DE1045" w:rsidRDefault="00DE1045" w:rsidP="00C33F44">
            <w:pPr>
              <w:pStyle w:val="ListParagraph"/>
              <w:ind w:left="0"/>
              <w:jc w:val="left"/>
            </w:pPr>
            <w:r>
              <w:t>0.012999</w:t>
            </w:r>
          </w:p>
        </w:tc>
      </w:tr>
      <w:tr w:rsidR="00DE1045" w14:paraId="36BC7D16" w14:textId="77777777" w:rsidTr="00DE1045">
        <w:tblPrEx>
          <w:jc w:val="center"/>
        </w:tblPrEx>
        <w:tc>
          <w:tcPr>
            <w:tcW w:w="2640" w:type="dxa"/>
          </w:tcPr>
          <w:p w14:paraId="519C4C0D" w14:textId="7C7196F0" w:rsidR="00DE1045" w:rsidRDefault="00DE1045" w:rsidP="00C33F44">
            <w:pPr>
              <w:pStyle w:val="ListParagraph"/>
              <w:ind w:left="0"/>
              <w:jc w:val="left"/>
            </w:pPr>
            <w:r>
              <w:t>Standard deviation</w:t>
            </w:r>
          </w:p>
        </w:tc>
        <w:tc>
          <w:tcPr>
            <w:tcW w:w="2640" w:type="dxa"/>
          </w:tcPr>
          <w:p w14:paraId="741E63C3" w14:textId="4CFD5E9C" w:rsidR="00DE1045" w:rsidRDefault="00DE1045" w:rsidP="00C33F44">
            <w:pPr>
              <w:pStyle w:val="ListParagraph"/>
              <w:ind w:left="0"/>
              <w:jc w:val="left"/>
            </w:pPr>
            <w:r>
              <w:t>0.004548</w:t>
            </w:r>
          </w:p>
        </w:tc>
        <w:tc>
          <w:tcPr>
            <w:tcW w:w="2640" w:type="dxa"/>
          </w:tcPr>
          <w:p w14:paraId="4CE63643" w14:textId="1504E9B3" w:rsidR="00DE1045" w:rsidRDefault="00DE1045" w:rsidP="00C33F44">
            <w:pPr>
              <w:pStyle w:val="ListParagraph"/>
              <w:ind w:left="0"/>
              <w:jc w:val="left"/>
            </w:pPr>
            <w:r>
              <w:t>0.017004</w:t>
            </w:r>
          </w:p>
        </w:tc>
      </w:tr>
      <w:tr w:rsidR="00DE1045" w14:paraId="3640C41C" w14:textId="77777777" w:rsidTr="00DE1045">
        <w:tblPrEx>
          <w:jc w:val="center"/>
        </w:tblPrEx>
        <w:tc>
          <w:tcPr>
            <w:tcW w:w="2640" w:type="dxa"/>
          </w:tcPr>
          <w:p w14:paraId="355C999E" w14:textId="7015B11D" w:rsidR="00DE1045" w:rsidRDefault="00DE1045" w:rsidP="00C33F44">
            <w:pPr>
              <w:pStyle w:val="ListParagraph"/>
              <w:ind w:left="0"/>
              <w:jc w:val="left"/>
            </w:pPr>
            <w:r>
              <w:t>Mean</w:t>
            </w:r>
          </w:p>
        </w:tc>
        <w:tc>
          <w:tcPr>
            <w:tcW w:w="2640" w:type="dxa"/>
          </w:tcPr>
          <w:p w14:paraId="3C7E17E4" w14:textId="0F0401E1" w:rsidR="00DE1045" w:rsidRDefault="00DE1045" w:rsidP="00C33F44">
            <w:pPr>
              <w:pStyle w:val="ListParagraph"/>
              <w:ind w:left="0"/>
              <w:jc w:val="left"/>
            </w:pPr>
            <w:r>
              <w:t>0.003817</w:t>
            </w:r>
          </w:p>
        </w:tc>
        <w:tc>
          <w:tcPr>
            <w:tcW w:w="2640" w:type="dxa"/>
          </w:tcPr>
          <w:p w14:paraId="4C676955" w14:textId="2EC0F425" w:rsidR="00DE1045" w:rsidRDefault="00DE1045" w:rsidP="00C33F44">
            <w:pPr>
              <w:pStyle w:val="ListParagraph"/>
              <w:ind w:left="0"/>
              <w:jc w:val="left"/>
            </w:pPr>
            <w:r>
              <w:t>0.000168</w:t>
            </w:r>
          </w:p>
        </w:tc>
      </w:tr>
      <w:tr w:rsidR="00DE1045" w14:paraId="12A4C309" w14:textId="77777777" w:rsidTr="00DE1045">
        <w:tblPrEx>
          <w:jc w:val="center"/>
        </w:tblPrEx>
        <w:tc>
          <w:tcPr>
            <w:tcW w:w="2640" w:type="dxa"/>
          </w:tcPr>
          <w:p w14:paraId="7817792D" w14:textId="77777777" w:rsidR="00DE1045" w:rsidRDefault="00DE1045" w:rsidP="00C33F44">
            <w:pPr>
              <w:pStyle w:val="ListParagraph"/>
              <w:ind w:left="0"/>
              <w:jc w:val="left"/>
            </w:pPr>
          </w:p>
        </w:tc>
        <w:tc>
          <w:tcPr>
            <w:tcW w:w="2640" w:type="dxa"/>
          </w:tcPr>
          <w:p w14:paraId="1188E187" w14:textId="77777777" w:rsidR="00DE1045" w:rsidRDefault="00DE1045" w:rsidP="00DE1045">
            <w:pPr>
              <w:pStyle w:val="TableCaption"/>
              <w:numPr>
                <w:ilvl w:val="0"/>
                <w:numId w:val="0"/>
              </w:numPr>
              <w:jc w:val="center"/>
              <w:rPr>
                <w:b/>
                <w:bCs w:val="0"/>
                <w:i/>
                <w:iCs/>
              </w:rPr>
            </w:pPr>
          </w:p>
          <w:p w14:paraId="3790986D" w14:textId="3F71F320" w:rsidR="00DE1045" w:rsidRPr="00DE1045" w:rsidRDefault="00DE1045" w:rsidP="00DE1045">
            <w:pPr>
              <w:pStyle w:val="TableCaption"/>
              <w:numPr>
                <w:ilvl w:val="0"/>
                <w:numId w:val="0"/>
              </w:numPr>
              <w:jc w:val="center"/>
              <w:rPr>
                <w:b/>
                <w:bCs w:val="0"/>
                <w:i/>
                <w:iCs/>
              </w:rPr>
            </w:pPr>
            <w:r>
              <w:rPr>
                <w:b/>
                <w:bCs w:val="0"/>
                <w:i/>
                <w:iCs/>
              </w:rPr>
              <w:t>Figure</w:t>
            </w:r>
            <w:r w:rsidRPr="00DE1045">
              <w:rPr>
                <w:b/>
                <w:bCs w:val="0"/>
                <w:i/>
                <w:iCs/>
              </w:rPr>
              <w:t xml:space="preserve"> </w:t>
            </w:r>
            <w:r>
              <w:rPr>
                <w:b/>
                <w:bCs w:val="0"/>
                <w:i/>
                <w:iCs/>
              </w:rPr>
              <w:t>6</w:t>
            </w:r>
          </w:p>
        </w:tc>
        <w:tc>
          <w:tcPr>
            <w:tcW w:w="2640" w:type="dxa"/>
          </w:tcPr>
          <w:p w14:paraId="413468C9" w14:textId="77777777" w:rsidR="00DE1045" w:rsidRDefault="00DE1045" w:rsidP="00C33F44">
            <w:pPr>
              <w:pStyle w:val="ListParagraph"/>
              <w:ind w:left="0"/>
              <w:jc w:val="left"/>
            </w:pPr>
          </w:p>
        </w:tc>
      </w:tr>
    </w:tbl>
    <w:p w14:paraId="091F036C" w14:textId="05598137" w:rsidR="00DE1045" w:rsidRPr="00C33F44" w:rsidRDefault="00DE1045" w:rsidP="00DE1045">
      <w:pPr>
        <w:pStyle w:val="ListParagraph"/>
        <w:spacing w:line="240" w:lineRule="auto"/>
        <w:ind w:left="0"/>
        <w:jc w:val="center"/>
      </w:pPr>
      <w:r>
        <w:rPr>
          <w:noProof/>
          <w14:ligatures w14:val="none"/>
          <w14:numForm w14:val="default"/>
          <w14:numSpacing w14:val="default"/>
        </w:rPr>
        <w:drawing>
          <wp:inline distT="0" distB="0" distL="0" distR="0" wp14:anchorId="55BEE023" wp14:editId="0C90DE6C">
            <wp:extent cx="5029200" cy="4023360"/>
            <wp:effectExtent l="0" t="0" r="0" b="2540"/>
            <wp:docPr id="11" name="Picture 1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line char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29200" cy="4023360"/>
                    </a:xfrm>
                    <a:prstGeom prst="rect">
                      <a:avLst/>
                    </a:prstGeom>
                  </pic:spPr>
                </pic:pic>
              </a:graphicData>
            </a:graphic>
          </wp:inline>
        </w:drawing>
      </w:r>
    </w:p>
    <w:p w14:paraId="7D2B9472" w14:textId="77777777" w:rsidR="00552F71" w:rsidRDefault="00552F71" w:rsidP="00552F71">
      <w:pPr>
        <w:spacing w:line="240" w:lineRule="auto"/>
        <w:jc w:val="left"/>
      </w:pPr>
    </w:p>
    <w:p w14:paraId="5D921CF3" w14:textId="77777777" w:rsidR="00552F71" w:rsidRDefault="00552F71" w:rsidP="00552F71">
      <w:pPr>
        <w:spacing w:line="240" w:lineRule="auto"/>
        <w:jc w:val="left"/>
      </w:pPr>
    </w:p>
    <w:sectPr w:rsidR="00552F71" w:rsidSect="00641ADD">
      <w:headerReference w:type="even" r:id="rId14"/>
      <w:headerReference w:type="default" r:id="rId15"/>
      <w:footerReference w:type="even" r:id="rId16"/>
      <w:footerReference w:type="default" r:id="rId17"/>
      <w:headerReference w:type="first" r:id="rId18"/>
      <w:footerReference w:type="first" r:id="rId19"/>
      <w:pgSz w:w="12240" w:h="15840"/>
      <w:pgMar w:top="1440" w:right="2160" w:bottom="2160" w:left="2160" w:header="720" w:footer="1498"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A5E1DA5" w14:textId="77777777" w:rsidR="00B36547" w:rsidRDefault="00B36547" w:rsidP="00126D77">
      <w:r>
        <w:separator/>
      </w:r>
    </w:p>
  </w:endnote>
  <w:endnote w:type="continuationSeparator" w:id="0">
    <w:p w14:paraId="2F8C03D6" w14:textId="77777777" w:rsidR="00B36547" w:rsidRDefault="00B36547" w:rsidP="00126D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Headings CS)">
    <w:altName w:val="Times New Roman"/>
    <w:panose1 w:val="020B0604020202020204"/>
    <w:charset w:val="00"/>
    <w:family w:val="roman"/>
    <w:notTrueType/>
    <w:pitch w:val="default"/>
  </w:font>
  <w:font w:name="Minion Pro">
    <w:panose1 w:val="020B0604020202020204"/>
    <w:charset w:val="00"/>
    <w:family w:val="roman"/>
    <w:pitch w:val="variable"/>
    <w:sig w:usb0="E00002AF" w:usb1="5000607B" w:usb2="00000000" w:usb3="00000000" w:csb0="0000009F" w:csb1="00000000"/>
  </w:font>
  <w:font w:name="Times New Roman (Body CS)">
    <w:altName w:val="Times New Roman"/>
    <w:panose1 w:val="020B0604020202020204"/>
    <w:charset w:val="00"/>
    <w:family w:val="roman"/>
    <w:notTrueType/>
    <w:pitch w:val="default"/>
  </w:font>
  <w:font w:name="Courier">
    <w:panose1 w:val="00000000000000000000"/>
    <w:charset w:val="00"/>
    <w:family w:val="auto"/>
    <w:pitch w:val="variable"/>
    <w:sig w:usb0="00000003" w:usb1="00000000" w:usb2="00000000" w:usb3="00000000" w:csb0="00000003" w:csb1="00000000"/>
  </w:font>
  <w:font w:name="Crimson Text">
    <w:panose1 w:val="020B0604020202020204"/>
    <w:charset w:val="4D"/>
    <w:family w:val="auto"/>
    <w:pitch w:val="variable"/>
    <w:sig w:usb0="80000043" w:usb1="40000062"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20950108"/>
      <w:docPartObj>
        <w:docPartGallery w:val="Page Numbers (Bottom of Page)"/>
        <w:docPartUnique/>
      </w:docPartObj>
    </w:sdtPr>
    <w:sdtContent>
      <w:p w14:paraId="3353AA7A" w14:textId="7B4D6E50"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340ADAE" w14:textId="77777777" w:rsidR="00641ADD" w:rsidRDefault="00641AD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71936286"/>
      <w:docPartObj>
        <w:docPartGallery w:val="Page Numbers (Bottom of Page)"/>
        <w:docPartUnique/>
      </w:docPartObj>
    </w:sdtPr>
    <w:sdtContent>
      <w:p w14:paraId="1EE4DBC6" w14:textId="02C70B0F" w:rsidR="00641ADD" w:rsidRDefault="00641ADD" w:rsidP="00C923D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2D8B6AE" w14:textId="77777777" w:rsidR="00641ADD" w:rsidRDefault="00641AD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2E99D6" w14:textId="77777777" w:rsidR="00BC324F" w:rsidRDefault="00BC32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43D1E" w14:textId="77777777" w:rsidR="00B36547" w:rsidRDefault="00B36547" w:rsidP="0060186D">
      <w:pPr>
        <w:spacing w:after="0" w:line="110" w:lineRule="exact"/>
      </w:pPr>
    </w:p>
  </w:footnote>
  <w:footnote w:type="continuationSeparator" w:id="0">
    <w:p w14:paraId="4E865954" w14:textId="77777777" w:rsidR="00B36547" w:rsidRPr="00BB7AEF" w:rsidRDefault="00B36547" w:rsidP="00BB7AEF">
      <w:pPr>
        <w:spacing w:after="0" w:line="20" w:lineRule="exact"/>
        <w:rPr>
          <w:sz w:val="2"/>
        </w:rPr>
      </w:pPr>
    </w:p>
  </w:footnote>
  <w:footnote w:type="continuationNotice" w:id="1">
    <w:p w14:paraId="7B0BD2E0" w14:textId="77777777" w:rsidR="00B36547" w:rsidRPr="00AE67B5" w:rsidRDefault="00B36547" w:rsidP="00AE67B5">
      <w:pPr>
        <w:spacing w:after="0" w:line="20" w:lineRule="exact"/>
        <w:rPr>
          <w:sz w:val="2"/>
        </w:rPr>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010985600"/>
      <w:docPartObj>
        <w:docPartGallery w:val="Page Numbers (Top of Page)"/>
        <w:docPartUnique/>
      </w:docPartObj>
    </w:sdtPr>
    <w:sdtContent>
      <w:p w14:paraId="317A6B06" w14:textId="05D7D4F4" w:rsidR="0002420C" w:rsidRDefault="0002420C" w:rsidP="00B34283">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A83BD6D" w14:textId="78C850AC" w:rsidR="006D3558" w:rsidRDefault="006D3558" w:rsidP="0002420C">
    <w:pPr>
      <w:pStyle w:val="Header"/>
      <w:ind w:right="360"/>
      <w:rPr>
        <w:rStyle w:val="PageNumber"/>
      </w:rPr>
    </w:pPr>
  </w:p>
  <w:p w14:paraId="4DC7869B" w14:textId="77777777" w:rsidR="006D3558" w:rsidRDefault="006D3558" w:rsidP="00126D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B36B99" w14:textId="77777777" w:rsidR="006D3558" w:rsidRDefault="006D3558" w:rsidP="0002420C">
    <w:pPr>
      <w:pStyle w:val="Header"/>
      <w:ind w:right="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CFAEE" w14:textId="77777777" w:rsidR="00BC324F" w:rsidRDefault="00BC324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272837"/>
    <w:multiLevelType w:val="multilevel"/>
    <w:tmpl w:val="8460E436"/>
    <w:lvl w:ilvl="0">
      <w:start w:val="1"/>
      <w:numFmt w:val="decimal"/>
      <w:pStyle w:val="Heading1"/>
      <w:lvlText w:val="%1"/>
      <w:lvlJc w:val="left"/>
      <w:pPr>
        <w:tabs>
          <w:tab w:val="num" w:pos="202"/>
        </w:tabs>
        <w:ind w:left="0" w:firstLine="0"/>
      </w:pPr>
      <w:rPr>
        <w:rFonts w:hint="default"/>
      </w:rPr>
    </w:lvl>
    <w:lvl w:ilvl="1">
      <w:start w:val="1"/>
      <w:numFmt w:val="decimal"/>
      <w:lvlText w:val="%1.%2"/>
      <w:lvlJc w:val="left"/>
      <w:pPr>
        <w:tabs>
          <w:tab w:val="num" w:pos="360"/>
        </w:tabs>
        <w:ind w:left="0" w:firstLine="0"/>
      </w:pPr>
      <w:rPr>
        <w:rFonts w:hint="default"/>
      </w:rPr>
    </w:lvl>
    <w:lvl w:ilvl="2">
      <w:start w:val="1"/>
      <w:numFmt w:val="decimal"/>
      <w:pStyle w:val="Heading3"/>
      <w:lvlText w:val="%1.%2.%3"/>
      <w:lvlJc w:val="left"/>
      <w:pPr>
        <w:tabs>
          <w:tab w:val="num" w:pos="518"/>
        </w:tabs>
        <w:ind w:left="0" w:firstLine="0"/>
      </w:pPr>
      <w:rPr>
        <w:rFonts w:hint="default"/>
        <w:b/>
        <w:i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49E507DF"/>
    <w:multiLevelType w:val="hybridMultilevel"/>
    <w:tmpl w:val="76EE22EA"/>
    <w:lvl w:ilvl="0" w:tplc="C8D41AC0">
      <w:start w:val="1"/>
      <w:numFmt w:val="decimal"/>
      <w:pStyle w:val="FigureCaption"/>
      <w:lvlText w:val="Figure %1—"/>
      <w:lvlJc w:val="left"/>
      <w:pPr>
        <w:ind w:left="1440" w:firstLine="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9D5FC7"/>
    <w:multiLevelType w:val="hybridMultilevel"/>
    <w:tmpl w:val="F9BE760E"/>
    <w:lvl w:ilvl="0" w:tplc="580C3E70">
      <w:start w:val="1"/>
      <w:numFmt w:val="bullet"/>
      <w:pStyle w:val="BulletedList"/>
      <w:lvlText w:val=""/>
      <w:lvlJc w:val="left"/>
      <w:pPr>
        <w:ind w:left="720" w:hanging="360"/>
      </w:pPr>
      <w:rPr>
        <w:rFonts w:ascii="Symbol" w:hAnsi="Symbol" w:hint="default"/>
        <w:b/>
        <w:i w:val="0"/>
        <w:position w:val="-2"/>
        <w:sz w:val="3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9CD6426"/>
    <w:multiLevelType w:val="hybridMultilevel"/>
    <w:tmpl w:val="363E5706"/>
    <w:lvl w:ilvl="0" w:tplc="EA44C922">
      <w:start w:val="1"/>
      <w:numFmt w:val="decimal"/>
      <w:pStyle w:val="NumberedList"/>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8915BD8"/>
    <w:multiLevelType w:val="hybridMultilevel"/>
    <w:tmpl w:val="FD565E36"/>
    <w:lvl w:ilvl="0" w:tplc="C22EE118">
      <w:start w:val="1"/>
      <w:numFmt w:val="decimal"/>
      <w:pStyle w:val="TableCaption"/>
      <w:lvlText w:val="Table %1 —"/>
      <w:lvlJc w:val="left"/>
      <w:pPr>
        <w:ind w:left="1800" w:firstLine="360"/>
      </w:pPr>
      <w:rPr>
        <w:rFonts w:hint="default"/>
        <w:b/>
        <w:i/>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num w:numId="1" w16cid:durableId="1109276474">
    <w:abstractNumId w:val="3"/>
  </w:num>
  <w:num w:numId="2" w16cid:durableId="590545512">
    <w:abstractNumId w:val="0"/>
  </w:num>
  <w:num w:numId="3" w16cid:durableId="917593182">
    <w:abstractNumId w:val="2"/>
  </w:num>
  <w:num w:numId="4" w16cid:durableId="2068869142">
    <w:abstractNumId w:val="1"/>
  </w:num>
  <w:num w:numId="5" w16cid:durableId="924729324">
    <w:abstractNumId w:val="4"/>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5"/>
  <w:proofState w:spelling="clean" w:grammar="clean"/>
  <w:attachedTemplate r:id="rId1"/>
  <w:defaultTabStop w:val="720"/>
  <w:autoHyphenation/>
  <w:consecutiveHyphenLimit w:val="2"/>
  <w:doNotHyphenateCaps/>
  <w:defaultTableStyle w:val="JDF"/>
  <w:characterSpacingControl w:val="doNotCompress"/>
  <w:footnotePr>
    <w:footnote w:id="-1"/>
    <w:footnote w:id="0"/>
    <w:footnote w:id="1"/>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5D71"/>
    <w:rsid w:val="00000146"/>
    <w:rsid w:val="00002321"/>
    <w:rsid w:val="000107FF"/>
    <w:rsid w:val="000115A8"/>
    <w:rsid w:val="00015661"/>
    <w:rsid w:val="0001758E"/>
    <w:rsid w:val="00020CE7"/>
    <w:rsid w:val="000227CF"/>
    <w:rsid w:val="0002420C"/>
    <w:rsid w:val="00030A1C"/>
    <w:rsid w:val="00030F47"/>
    <w:rsid w:val="00031ACE"/>
    <w:rsid w:val="00031E19"/>
    <w:rsid w:val="000326E2"/>
    <w:rsid w:val="0004097D"/>
    <w:rsid w:val="000435DE"/>
    <w:rsid w:val="00043A15"/>
    <w:rsid w:val="00045282"/>
    <w:rsid w:val="00053A61"/>
    <w:rsid w:val="000558BE"/>
    <w:rsid w:val="000576D8"/>
    <w:rsid w:val="00060B34"/>
    <w:rsid w:val="00060DEA"/>
    <w:rsid w:val="000613DF"/>
    <w:rsid w:val="00062881"/>
    <w:rsid w:val="00062914"/>
    <w:rsid w:val="00064626"/>
    <w:rsid w:val="00071F4D"/>
    <w:rsid w:val="000733EC"/>
    <w:rsid w:val="000736BA"/>
    <w:rsid w:val="00074DDE"/>
    <w:rsid w:val="0007537F"/>
    <w:rsid w:val="00077849"/>
    <w:rsid w:val="00082DC0"/>
    <w:rsid w:val="00084043"/>
    <w:rsid w:val="000842AF"/>
    <w:rsid w:val="0008560D"/>
    <w:rsid w:val="00091B87"/>
    <w:rsid w:val="000A01AF"/>
    <w:rsid w:val="000A418D"/>
    <w:rsid w:val="000A4411"/>
    <w:rsid w:val="000B1B4F"/>
    <w:rsid w:val="000B6003"/>
    <w:rsid w:val="000B6800"/>
    <w:rsid w:val="000C1B2E"/>
    <w:rsid w:val="000C1C64"/>
    <w:rsid w:val="000C3515"/>
    <w:rsid w:val="000C415F"/>
    <w:rsid w:val="000C4171"/>
    <w:rsid w:val="000C4384"/>
    <w:rsid w:val="000C486C"/>
    <w:rsid w:val="000C5000"/>
    <w:rsid w:val="000C5174"/>
    <w:rsid w:val="000D1C05"/>
    <w:rsid w:val="000D230A"/>
    <w:rsid w:val="000D24B3"/>
    <w:rsid w:val="000D6A8A"/>
    <w:rsid w:val="000E1BD8"/>
    <w:rsid w:val="000E2391"/>
    <w:rsid w:val="000E4B49"/>
    <w:rsid w:val="000F5ACE"/>
    <w:rsid w:val="000F6C8C"/>
    <w:rsid w:val="001026FF"/>
    <w:rsid w:val="00106BC3"/>
    <w:rsid w:val="0011139F"/>
    <w:rsid w:val="00117ECF"/>
    <w:rsid w:val="001226B8"/>
    <w:rsid w:val="001227A5"/>
    <w:rsid w:val="00124EC2"/>
    <w:rsid w:val="00126D77"/>
    <w:rsid w:val="00132FF3"/>
    <w:rsid w:val="00135B1D"/>
    <w:rsid w:val="001366F3"/>
    <w:rsid w:val="00141B95"/>
    <w:rsid w:val="001468F9"/>
    <w:rsid w:val="0014733E"/>
    <w:rsid w:val="00150453"/>
    <w:rsid w:val="001508F7"/>
    <w:rsid w:val="00151FB5"/>
    <w:rsid w:val="00155D9A"/>
    <w:rsid w:val="00156F11"/>
    <w:rsid w:val="001609D3"/>
    <w:rsid w:val="00160B76"/>
    <w:rsid w:val="00161673"/>
    <w:rsid w:val="001641AC"/>
    <w:rsid w:val="00164951"/>
    <w:rsid w:val="0016672B"/>
    <w:rsid w:val="00167085"/>
    <w:rsid w:val="0017086D"/>
    <w:rsid w:val="0017206B"/>
    <w:rsid w:val="00172F24"/>
    <w:rsid w:val="00173B0C"/>
    <w:rsid w:val="00173D74"/>
    <w:rsid w:val="00173F22"/>
    <w:rsid w:val="00175365"/>
    <w:rsid w:val="00176C48"/>
    <w:rsid w:val="00176FCE"/>
    <w:rsid w:val="00182071"/>
    <w:rsid w:val="0018382A"/>
    <w:rsid w:val="00184E25"/>
    <w:rsid w:val="001879C8"/>
    <w:rsid w:val="00193F58"/>
    <w:rsid w:val="001942D7"/>
    <w:rsid w:val="00194787"/>
    <w:rsid w:val="001A10F2"/>
    <w:rsid w:val="001A1AB8"/>
    <w:rsid w:val="001A228E"/>
    <w:rsid w:val="001A4533"/>
    <w:rsid w:val="001A48DF"/>
    <w:rsid w:val="001A657B"/>
    <w:rsid w:val="001B415A"/>
    <w:rsid w:val="001B681E"/>
    <w:rsid w:val="001C00F6"/>
    <w:rsid w:val="001C5252"/>
    <w:rsid w:val="001C52FB"/>
    <w:rsid w:val="001C60A6"/>
    <w:rsid w:val="001C737D"/>
    <w:rsid w:val="001C7DFD"/>
    <w:rsid w:val="001C7E2A"/>
    <w:rsid w:val="001D2B7D"/>
    <w:rsid w:val="001D7DCD"/>
    <w:rsid w:val="001E0F5D"/>
    <w:rsid w:val="001E21C6"/>
    <w:rsid w:val="001E265E"/>
    <w:rsid w:val="001E2A54"/>
    <w:rsid w:val="001E30C7"/>
    <w:rsid w:val="001E56D1"/>
    <w:rsid w:val="001E5E5E"/>
    <w:rsid w:val="001F07CB"/>
    <w:rsid w:val="001F1496"/>
    <w:rsid w:val="001F1E50"/>
    <w:rsid w:val="001F4393"/>
    <w:rsid w:val="001F4AFC"/>
    <w:rsid w:val="001F5005"/>
    <w:rsid w:val="001F5AFD"/>
    <w:rsid w:val="00203DBD"/>
    <w:rsid w:val="002052ED"/>
    <w:rsid w:val="00206ACA"/>
    <w:rsid w:val="002109C8"/>
    <w:rsid w:val="002132E3"/>
    <w:rsid w:val="0022085A"/>
    <w:rsid w:val="00223D65"/>
    <w:rsid w:val="0022524E"/>
    <w:rsid w:val="00226450"/>
    <w:rsid w:val="0022738A"/>
    <w:rsid w:val="00227B52"/>
    <w:rsid w:val="00236BE1"/>
    <w:rsid w:val="0024142B"/>
    <w:rsid w:val="002418FE"/>
    <w:rsid w:val="00244C89"/>
    <w:rsid w:val="00244DA3"/>
    <w:rsid w:val="00251DA6"/>
    <w:rsid w:val="002540F0"/>
    <w:rsid w:val="00257B56"/>
    <w:rsid w:val="00260A81"/>
    <w:rsid w:val="0026126F"/>
    <w:rsid w:val="00266C96"/>
    <w:rsid w:val="00270834"/>
    <w:rsid w:val="0027188D"/>
    <w:rsid w:val="00271FF2"/>
    <w:rsid w:val="00272991"/>
    <w:rsid w:val="00280650"/>
    <w:rsid w:val="00281FCB"/>
    <w:rsid w:val="002839B1"/>
    <w:rsid w:val="0028491E"/>
    <w:rsid w:val="00287386"/>
    <w:rsid w:val="00290E84"/>
    <w:rsid w:val="00293BC0"/>
    <w:rsid w:val="002948EC"/>
    <w:rsid w:val="0029645B"/>
    <w:rsid w:val="002A09D4"/>
    <w:rsid w:val="002A346E"/>
    <w:rsid w:val="002B1C35"/>
    <w:rsid w:val="002B2730"/>
    <w:rsid w:val="002B63CA"/>
    <w:rsid w:val="002B64D6"/>
    <w:rsid w:val="002B7FCB"/>
    <w:rsid w:val="002C10B1"/>
    <w:rsid w:val="002C1730"/>
    <w:rsid w:val="002C231C"/>
    <w:rsid w:val="002C2EA0"/>
    <w:rsid w:val="002C6457"/>
    <w:rsid w:val="002D5B6B"/>
    <w:rsid w:val="002D71BC"/>
    <w:rsid w:val="002E20C6"/>
    <w:rsid w:val="002E3618"/>
    <w:rsid w:val="002E3F1B"/>
    <w:rsid w:val="002E47E0"/>
    <w:rsid w:val="002E486D"/>
    <w:rsid w:val="002E69A9"/>
    <w:rsid w:val="002F4298"/>
    <w:rsid w:val="002F4366"/>
    <w:rsid w:val="002F5798"/>
    <w:rsid w:val="002F5D9D"/>
    <w:rsid w:val="002F7302"/>
    <w:rsid w:val="002F7BA8"/>
    <w:rsid w:val="00301E06"/>
    <w:rsid w:val="00302B13"/>
    <w:rsid w:val="003031BB"/>
    <w:rsid w:val="00303B10"/>
    <w:rsid w:val="00303D72"/>
    <w:rsid w:val="003044BB"/>
    <w:rsid w:val="003061EB"/>
    <w:rsid w:val="0031149D"/>
    <w:rsid w:val="003125D2"/>
    <w:rsid w:val="00312B37"/>
    <w:rsid w:val="00314FD6"/>
    <w:rsid w:val="0031675A"/>
    <w:rsid w:val="00317D72"/>
    <w:rsid w:val="003208FB"/>
    <w:rsid w:val="00320984"/>
    <w:rsid w:val="003259C7"/>
    <w:rsid w:val="00326A4F"/>
    <w:rsid w:val="00327186"/>
    <w:rsid w:val="00332735"/>
    <w:rsid w:val="00340B08"/>
    <w:rsid w:val="00351C5A"/>
    <w:rsid w:val="00353B50"/>
    <w:rsid w:val="00356F39"/>
    <w:rsid w:val="00360939"/>
    <w:rsid w:val="00361865"/>
    <w:rsid w:val="00361A3E"/>
    <w:rsid w:val="00366883"/>
    <w:rsid w:val="00366B2D"/>
    <w:rsid w:val="00370DCB"/>
    <w:rsid w:val="00370F79"/>
    <w:rsid w:val="00373528"/>
    <w:rsid w:val="00373663"/>
    <w:rsid w:val="0037558A"/>
    <w:rsid w:val="00375FF8"/>
    <w:rsid w:val="003825F5"/>
    <w:rsid w:val="00383338"/>
    <w:rsid w:val="00385D86"/>
    <w:rsid w:val="00390FA2"/>
    <w:rsid w:val="00393E76"/>
    <w:rsid w:val="00394516"/>
    <w:rsid w:val="00394E3E"/>
    <w:rsid w:val="003961A6"/>
    <w:rsid w:val="003A46EA"/>
    <w:rsid w:val="003A4970"/>
    <w:rsid w:val="003A62EB"/>
    <w:rsid w:val="003A7D06"/>
    <w:rsid w:val="003B0B8B"/>
    <w:rsid w:val="003B4A52"/>
    <w:rsid w:val="003B5280"/>
    <w:rsid w:val="003B7F2C"/>
    <w:rsid w:val="003C2E77"/>
    <w:rsid w:val="003C3139"/>
    <w:rsid w:val="003C529A"/>
    <w:rsid w:val="003D0ED4"/>
    <w:rsid w:val="003D6955"/>
    <w:rsid w:val="003E098F"/>
    <w:rsid w:val="003E21C6"/>
    <w:rsid w:val="003E687F"/>
    <w:rsid w:val="003E7050"/>
    <w:rsid w:val="003F106D"/>
    <w:rsid w:val="003F5559"/>
    <w:rsid w:val="003F7B8C"/>
    <w:rsid w:val="004027C6"/>
    <w:rsid w:val="00407341"/>
    <w:rsid w:val="004075D5"/>
    <w:rsid w:val="004078D4"/>
    <w:rsid w:val="004132B8"/>
    <w:rsid w:val="0041391B"/>
    <w:rsid w:val="004156C8"/>
    <w:rsid w:val="00417F0E"/>
    <w:rsid w:val="00422A19"/>
    <w:rsid w:val="00422BCE"/>
    <w:rsid w:val="004248B1"/>
    <w:rsid w:val="00425FB1"/>
    <w:rsid w:val="00426676"/>
    <w:rsid w:val="0043014A"/>
    <w:rsid w:val="0043030F"/>
    <w:rsid w:val="0043107E"/>
    <w:rsid w:val="004312E4"/>
    <w:rsid w:val="00443D14"/>
    <w:rsid w:val="00450874"/>
    <w:rsid w:val="004508B1"/>
    <w:rsid w:val="00451B4A"/>
    <w:rsid w:val="0045390F"/>
    <w:rsid w:val="0045755B"/>
    <w:rsid w:val="00460451"/>
    <w:rsid w:val="00463D6D"/>
    <w:rsid w:val="00464893"/>
    <w:rsid w:val="004676C6"/>
    <w:rsid w:val="00470D9A"/>
    <w:rsid w:val="0047173B"/>
    <w:rsid w:val="00472536"/>
    <w:rsid w:val="004757F8"/>
    <w:rsid w:val="004771C4"/>
    <w:rsid w:val="004828E3"/>
    <w:rsid w:val="004838FC"/>
    <w:rsid w:val="00491C67"/>
    <w:rsid w:val="00492688"/>
    <w:rsid w:val="004939A8"/>
    <w:rsid w:val="00493F27"/>
    <w:rsid w:val="004948E5"/>
    <w:rsid w:val="00495608"/>
    <w:rsid w:val="004A11B2"/>
    <w:rsid w:val="004A25C9"/>
    <w:rsid w:val="004A3E87"/>
    <w:rsid w:val="004A49BA"/>
    <w:rsid w:val="004A639B"/>
    <w:rsid w:val="004B0181"/>
    <w:rsid w:val="004B1B29"/>
    <w:rsid w:val="004B2D19"/>
    <w:rsid w:val="004B75CF"/>
    <w:rsid w:val="004C7019"/>
    <w:rsid w:val="004E725D"/>
    <w:rsid w:val="004F0C8B"/>
    <w:rsid w:val="004F2849"/>
    <w:rsid w:val="004F54A2"/>
    <w:rsid w:val="004F59AE"/>
    <w:rsid w:val="004F6A63"/>
    <w:rsid w:val="0050283F"/>
    <w:rsid w:val="00504524"/>
    <w:rsid w:val="00505A7B"/>
    <w:rsid w:val="0050660D"/>
    <w:rsid w:val="005075D1"/>
    <w:rsid w:val="00507A8F"/>
    <w:rsid w:val="00510B25"/>
    <w:rsid w:val="00511091"/>
    <w:rsid w:val="00512A74"/>
    <w:rsid w:val="0051349A"/>
    <w:rsid w:val="00513F4E"/>
    <w:rsid w:val="00515652"/>
    <w:rsid w:val="00520730"/>
    <w:rsid w:val="005253BF"/>
    <w:rsid w:val="005256E3"/>
    <w:rsid w:val="005258D7"/>
    <w:rsid w:val="00525B65"/>
    <w:rsid w:val="005304FB"/>
    <w:rsid w:val="00531346"/>
    <w:rsid w:val="00531C40"/>
    <w:rsid w:val="0053288B"/>
    <w:rsid w:val="005332DA"/>
    <w:rsid w:val="005351A8"/>
    <w:rsid w:val="005369E2"/>
    <w:rsid w:val="0054029E"/>
    <w:rsid w:val="005436CB"/>
    <w:rsid w:val="00544939"/>
    <w:rsid w:val="00547E40"/>
    <w:rsid w:val="0055158D"/>
    <w:rsid w:val="00552F71"/>
    <w:rsid w:val="0055510F"/>
    <w:rsid w:val="005568AA"/>
    <w:rsid w:val="00556A31"/>
    <w:rsid w:val="00560E4C"/>
    <w:rsid w:val="00564E59"/>
    <w:rsid w:val="005704B7"/>
    <w:rsid w:val="005710B4"/>
    <w:rsid w:val="00571AF4"/>
    <w:rsid w:val="00572228"/>
    <w:rsid w:val="00572C26"/>
    <w:rsid w:val="00573057"/>
    <w:rsid w:val="00574BFB"/>
    <w:rsid w:val="00575049"/>
    <w:rsid w:val="0058014E"/>
    <w:rsid w:val="00580D8A"/>
    <w:rsid w:val="00582118"/>
    <w:rsid w:val="005838F8"/>
    <w:rsid w:val="00585205"/>
    <w:rsid w:val="005863BF"/>
    <w:rsid w:val="005946D4"/>
    <w:rsid w:val="0059530D"/>
    <w:rsid w:val="005961B9"/>
    <w:rsid w:val="00597142"/>
    <w:rsid w:val="005A67C5"/>
    <w:rsid w:val="005A757A"/>
    <w:rsid w:val="005B0A9F"/>
    <w:rsid w:val="005B7109"/>
    <w:rsid w:val="005C15AC"/>
    <w:rsid w:val="005C20EF"/>
    <w:rsid w:val="005C277F"/>
    <w:rsid w:val="005C35A0"/>
    <w:rsid w:val="005C44D9"/>
    <w:rsid w:val="005C5B9C"/>
    <w:rsid w:val="005C7195"/>
    <w:rsid w:val="005C7986"/>
    <w:rsid w:val="005D2A31"/>
    <w:rsid w:val="005D618E"/>
    <w:rsid w:val="005E41E0"/>
    <w:rsid w:val="005E7273"/>
    <w:rsid w:val="005F44C5"/>
    <w:rsid w:val="005F592D"/>
    <w:rsid w:val="0060098C"/>
    <w:rsid w:val="0060186D"/>
    <w:rsid w:val="00601AF3"/>
    <w:rsid w:val="006038FC"/>
    <w:rsid w:val="0060451B"/>
    <w:rsid w:val="00604BAA"/>
    <w:rsid w:val="0060759C"/>
    <w:rsid w:val="006078B1"/>
    <w:rsid w:val="00610FD9"/>
    <w:rsid w:val="00611EDA"/>
    <w:rsid w:val="00613F6B"/>
    <w:rsid w:val="0062248D"/>
    <w:rsid w:val="006239DF"/>
    <w:rsid w:val="00623CC4"/>
    <w:rsid w:val="0062657D"/>
    <w:rsid w:val="00627A0B"/>
    <w:rsid w:val="00631C61"/>
    <w:rsid w:val="00633795"/>
    <w:rsid w:val="00633FF5"/>
    <w:rsid w:val="00635310"/>
    <w:rsid w:val="006403FC"/>
    <w:rsid w:val="00641ADD"/>
    <w:rsid w:val="00645E32"/>
    <w:rsid w:val="00645E4C"/>
    <w:rsid w:val="00647F1D"/>
    <w:rsid w:val="0065221C"/>
    <w:rsid w:val="00652FE8"/>
    <w:rsid w:val="006542D6"/>
    <w:rsid w:val="00656180"/>
    <w:rsid w:val="00656EF8"/>
    <w:rsid w:val="006605F1"/>
    <w:rsid w:val="00661942"/>
    <w:rsid w:val="00661E5A"/>
    <w:rsid w:val="00663701"/>
    <w:rsid w:val="006650DC"/>
    <w:rsid w:val="006666B5"/>
    <w:rsid w:val="00670915"/>
    <w:rsid w:val="00671B18"/>
    <w:rsid w:val="00671B2B"/>
    <w:rsid w:val="0067327C"/>
    <w:rsid w:val="00674519"/>
    <w:rsid w:val="00674DBB"/>
    <w:rsid w:val="00681B94"/>
    <w:rsid w:val="006833E5"/>
    <w:rsid w:val="00684943"/>
    <w:rsid w:val="00685370"/>
    <w:rsid w:val="006854EC"/>
    <w:rsid w:val="00685DB6"/>
    <w:rsid w:val="0068600F"/>
    <w:rsid w:val="006878DF"/>
    <w:rsid w:val="0069342B"/>
    <w:rsid w:val="006A3962"/>
    <w:rsid w:val="006A46B2"/>
    <w:rsid w:val="006A4963"/>
    <w:rsid w:val="006A5CC2"/>
    <w:rsid w:val="006B469E"/>
    <w:rsid w:val="006B7398"/>
    <w:rsid w:val="006B7CA6"/>
    <w:rsid w:val="006C0765"/>
    <w:rsid w:val="006C1FEE"/>
    <w:rsid w:val="006C500F"/>
    <w:rsid w:val="006D2120"/>
    <w:rsid w:val="006D3558"/>
    <w:rsid w:val="006D6EA5"/>
    <w:rsid w:val="006D7E6A"/>
    <w:rsid w:val="006E2CDA"/>
    <w:rsid w:val="006E6FF9"/>
    <w:rsid w:val="006E742D"/>
    <w:rsid w:val="006F6F00"/>
    <w:rsid w:val="007008BF"/>
    <w:rsid w:val="00703884"/>
    <w:rsid w:val="0070506F"/>
    <w:rsid w:val="0070617C"/>
    <w:rsid w:val="007070F0"/>
    <w:rsid w:val="007154B3"/>
    <w:rsid w:val="00716A64"/>
    <w:rsid w:val="0071719B"/>
    <w:rsid w:val="007173A1"/>
    <w:rsid w:val="00722529"/>
    <w:rsid w:val="00723076"/>
    <w:rsid w:val="00723246"/>
    <w:rsid w:val="00723B25"/>
    <w:rsid w:val="00724411"/>
    <w:rsid w:val="00727D87"/>
    <w:rsid w:val="007338C9"/>
    <w:rsid w:val="007361B1"/>
    <w:rsid w:val="007457C2"/>
    <w:rsid w:val="007462DF"/>
    <w:rsid w:val="0074738A"/>
    <w:rsid w:val="00753C68"/>
    <w:rsid w:val="00755175"/>
    <w:rsid w:val="00757391"/>
    <w:rsid w:val="00762612"/>
    <w:rsid w:val="00762B76"/>
    <w:rsid w:val="00763478"/>
    <w:rsid w:val="007640DD"/>
    <w:rsid w:val="00764914"/>
    <w:rsid w:val="00764E0F"/>
    <w:rsid w:val="00766C59"/>
    <w:rsid w:val="007672CC"/>
    <w:rsid w:val="00772198"/>
    <w:rsid w:val="0077229B"/>
    <w:rsid w:val="00773A55"/>
    <w:rsid w:val="007776CD"/>
    <w:rsid w:val="0078111A"/>
    <w:rsid w:val="00783A6E"/>
    <w:rsid w:val="00784B78"/>
    <w:rsid w:val="00786AA8"/>
    <w:rsid w:val="007878D4"/>
    <w:rsid w:val="007A092D"/>
    <w:rsid w:val="007A3CCE"/>
    <w:rsid w:val="007A4B7C"/>
    <w:rsid w:val="007A6738"/>
    <w:rsid w:val="007A6994"/>
    <w:rsid w:val="007A6F58"/>
    <w:rsid w:val="007A71BC"/>
    <w:rsid w:val="007B097F"/>
    <w:rsid w:val="007B0FC8"/>
    <w:rsid w:val="007B18A8"/>
    <w:rsid w:val="007B3252"/>
    <w:rsid w:val="007B6574"/>
    <w:rsid w:val="007C2231"/>
    <w:rsid w:val="007C3FE3"/>
    <w:rsid w:val="007C5EC0"/>
    <w:rsid w:val="007C7506"/>
    <w:rsid w:val="007D1EA5"/>
    <w:rsid w:val="007D5DB3"/>
    <w:rsid w:val="007D6D53"/>
    <w:rsid w:val="007F4A49"/>
    <w:rsid w:val="007F4EED"/>
    <w:rsid w:val="007F6D17"/>
    <w:rsid w:val="007F6F9E"/>
    <w:rsid w:val="00805D71"/>
    <w:rsid w:val="0080655F"/>
    <w:rsid w:val="008065ED"/>
    <w:rsid w:val="008079BE"/>
    <w:rsid w:val="00813FA9"/>
    <w:rsid w:val="00814B73"/>
    <w:rsid w:val="008160F6"/>
    <w:rsid w:val="00817430"/>
    <w:rsid w:val="00820355"/>
    <w:rsid w:val="00822CA9"/>
    <w:rsid w:val="00823FFC"/>
    <w:rsid w:val="00824049"/>
    <w:rsid w:val="008258A5"/>
    <w:rsid w:val="008259A9"/>
    <w:rsid w:val="008279E3"/>
    <w:rsid w:val="0083055C"/>
    <w:rsid w:val="00831C5D"/>
    <w:rsid w:val="00832B1C"/>
    <w:rsid w:val="00833BFD"/>
    <w:rsid w:val="00841265"/>
    <w:rsid w:val="00843C57"/>
    <w:rsid w:val="008473FD"/>
    <w:rsid w:val="00847761"/>
    <w:rsid w:val="00851223"/>
    <w:rsid w:val="0085378C"/>
    <w:rsid w:val="00854A8E"/>
    <w:rsid w:val="00856868"/>
    <w:rsid w:val="008568A3"/>
    <w:rsid w:val="00860227"/>
    <w:rsid w:val="00860A57"/>
    <w:rsid w:val="00865103"/>
    <w:rsid w:val="008673FB"/>
    <w:rsid w:val="008729F9"/>
    <w:rsid w:val="0088014F"/>
    <w:rsid w:val="00880F0A"/>
    <w:rsid w:val="00881D0B"/>
    <w:rsid w:val="00882604"/>
    <w:rsid w:val="008839E3"/>
    <w:rsid w:val="008864B6"/>
    <w:rsid w:val="008878F4"/>
    <w:rsid w:val="0089007B"/>
    <w:rsid w:val="008965FE"/>
    <w:rsid w:val="008A08BD"/>
    <w:rsid w:val="008A2DCF"/>
    <w:rsid w:val="008A7193"/>
    <w:rsid w:val="008A7209"/>
    <w:rsid w:val="008B1116"/>
    <w:rsid w:val="008B117D"/>
    <w:rsid w:val="008B26C9"/>
    <w:rsid w:val="008B54EB"/>
    <w:rsid w:val="008C10D9"/>
    <w:rsid w:val="008D1678"/>
    <w:rsid w:val="008D2D0A"/>
    <w:rsid w:val="008D4A94"/>
    <w:rsid w:val="008D4C91"/>
    <w:rsid w:val="008D516F"/>
    <w:rsid w:val="008D529D"/>
    <w:rsid w:val="008D5F44"/>
    <w:rsid w:val="008E10D4"/>
    <w:rsid w:val="008E6076"/>
    <w:rsid w:val="008E60B3"/>
    <w:rsid w:val="008E6C35"/>
    <w:rsid w:val="008E72DC"/>
    <w:rsid w:val="008E7428"/>
    <w:rsid w:val="008F21AF"/>
    <w:rsid w:val="008F39A4"/>
    <w:rsid w:val="008F49F9"/>
    <w:rsid w:val="008F5E34"/>
    <w:rsid w:val="008F5F83"/>
    <w:rsid w:val="00900DF3"/>
    <w:rsid w:val="009023D1"/>
    <w:rsid w:val="00902FC4"/>
    <w:rsid w:val="00905E9C"/>
    <w:rsid w:val="00907467"/>
    <w:rsid w:val="009239B2"/>
    <w:rsid w:val="00925331"/>
    <w:rsid w:val="00927C2B"/>
    <w:rsid w:val="009322EE"/>
    <w:rsid w:val="00941BF5"/>
    <w:rsid w:val="009431E6"/>
    <w:rsid w:val="00947290"/>
    <w:rsid w:val="009476F0"/>
    <w:rsid w:val="0095024D"/>
    <w:rsid w:val="00951C77"/>
    <w:rsid w:val="0095206C"/>
    <w:rsid w:val="009540A3"/>
    <w:rsid w:val="00956BD3"/>
    <w:rsid w:val="00957B31"/>
    <w:rsid w:val="00957FDD"/>
    <w:rsid w:val="00960205"/>
    <w:rsid w:val="0096250C"/>
    <w:rsid w:val="00964083"/>
    <w:rsid w:val="009703B6"/>
    <w:rsid w:val="00971F12"/>
    <w:rsid w:val="0097462D"/>
    <w:rsid w:val="009747B0"/>
    <w:rsid w:val="00975C05"/>
    <w:rsid w:val="009766B9"/>
    <w:rsid w:val="009827C3"/>
    <w:rsid w:val="009832DD"/>
    <w:rsid w:val="0099108D"/>
    <w:rsid w:val="00993B55"/>
    <w:rsid w:val="00994583"/>
    <w:rsid w:val="009947FE"/>
    <w:rsid w:val="00994B2F"/>
    <w:rsid w:val="009A0588"/>
    <w:rsid w:val="009A2E02"/>
    <w:rsid w:val="009A3B1C"/>
    <w:rsid w:val="009A5B14"/>
    <w:rsid w:val="009B0151"/>
    <w:rsid w:val="009B6743"/>
    <w:rsid w:val="009B7A17"/>
    <w:rsid w:val="009C1A53"/>
    <w:rsid w:val="009C216A"/>
    <w:rsid w:val="009C282D"/>
    <w:rsid w:val="009C2A4D"/>
    <w:rsid w:val="009C4542"/>
    <w:rsid w:val="009D06F1"/>
    <w:rsid w:val="009D21E3"/>
    <w:rsid w:val="009D22F3"/>
    <w:rsid w:val="009D4549"/>
    <w:rsid w:val="009D4DAC"/>
    <w:rsid w:val="009D4EEF"/>
    <w:rsid w:val="009D51D1"/>
    <w:rsid w:val="009D758D"/>
    <w:rsid w:val="009E2C14"/>
    <w:rsid w:val="009E2F1C"/>
    <w:rsid w:val="009E51CE"/>
    <w:rsid w:val="009E574D"/>
    <w:rsid w:val="009E646C"/>
    <w:rsid w:val="009F0750"/>
    <w:rsid w:val="009F20B1"/>
    <w:rsid w:val="009F436A"/>
    <w:rsid w:val="009F4E73"/>
    <w:rsid w:val="009F56DE"/>
    <w:rsid w:val="009F7C5B"/>
    <w:rsid w:val="00A0489D"/>
    <w:rsid w:val="00A06825"/>
    <w:rsid w:val="00A0741D"/>
    <w:rsid w:val="00A12200"/>
    <w:rsid w:val="00A160DB"/>
    <w:rsid w:val="00A1782F"/>
    <w:rsid w:val="00A179C4"/>
    <w:rsid w:val="00A17A2C"/>
    <w:rsid w:val="00A21453"/>
    <w:rsid w:val="00A2208B"/>
    <w:rsid w:val="00A24F29"/>
    <w:rsid w:val="00A2511C"/>
    <w:rsid w:val="00A3265B"/>
    <w:rsid w:val="00A34D9A"/>
    <w:rsid w:val="00A35CD7"/>
    <w:rsid w:val="00A3622B"/>
    <w:rsid w:val="00A37E91"/>
    <w:rsid w:val="00A40A23"/>
    <w:rsid w:val="00A43232"/>
    <w:rsid w:val="00A43B24"/>
    <w:rsid w:val="00A43ED8"/>
    <w:rsid w:val="00A46351"/>
    <w:rsid w:val="00A5492D"/>
    <w:rsid w:val="00A553C4"/>
    <w:rsid w:val="00A572E3"/>
    <w:rsid w:val="00A619FB"/>
    <w:rsid w:val="00A62E52"/>
    <w:rsid w:val="00A66338"/>
    <w:rsid w:val="00A66B78"/>
    <w:rsid w:val="00A7047E"/>
    <w:rsid w:val="00A727E6"/>
    <w:rsid w:val="00A747A0"/>
    <w:rsid w:val="00A74BC6"/>
    <w:rsid w:val="00A75197"/>
    <w:rsid w:val="00A8026B"/>
    <w:rsid w:val="00A82ECA"/>
    <w:rsid w:val="00A849E6"/>
    <w:rsid w:val="00A86465"/>
    <w:rsid w:val="00A9001A"/>
    <w:rsid w:val="00A90791"/>
    <w:rsid w:val="00AA2587"/>
    <w:rsid w:val="00AA2F32"/>
    <w:rsid w:val="00AA31C2"/>
    <w:rsid w:val="00AA7119"/>
    <w:rsid w:val="00AA79B2"/>
    <w:rsid w:val="00AB0875"/>
    <w:rsid w:val="00AB1709"/>
    <w:rsid w:val="00AB3C0D"/>
    <w:rsid w:val="00AC1278"/>
    <w:rsid w:val="00AC329D"/>
    <w:rsid w:val="00AC47DB"/>
    <w:rsid w:val="00AC6E0B"/>
    <w:rsid w:val="00AC76AD"/>
    <w:rsid w:val="00AE0D65"/>
    <w:rsid w:val="00AE3E19"/>
    <w:rsid w:val="00AE57E1"/>
    <w:rsid w:val="00AE67B5"/>
    <w:rsid w:val="00AE67D0"/>
    <w:rsid w:val="00AE6807"/>
    <w:rsid w:val="00AF270E"/>
    <w:rsid w:val="00AF51C9"/>
    <w:rsid w:val="00AF601A"/>
    <w:rsid w:val="00B031E6"/>
    <w:rsid w:val="00B04A10"/>
    <w:rsid w:val="00B127CB"/>
    <w:rsid w:val="00B1611A"/>
    <w:rsid w:val="00B16C49"/>
    <w:rsid w:val="00B170AF"/>
    <w:rsid w:val="00B218AF"/>
    <w:rsid w:val="00B23830"/>
    <w:rsid w:val="00B247B4"/>
    <w:rsid w:val="00B308FD"/>
    <w:rsid w:val="00B33389"/>
    <w:rsid w:val="00B36547"/>
    <w:rsid w:val="00B40174"/>
    <w:rsid w:val="00B416DC"/>
    <w:rsid w:val="00B4491E"/>
    <w:rsid w:val="00B52F0F"/>
    <w:rsid w:val="00B53F17"/>
    <w:rsid w:val="00B651F2"/>
    <w:rsid w:val="00B65552"/>
    <w:rsid w:val="00B67D2F"/>
    <w:rsid w:val="00B76173"/>
    <w:rsid w:val="00B80F47"/>
    <w:rsid w:val="00B83D7C"/>
    <w:rsid w:val="00B872B9"/>
    <w:rsid w:val="00B873A7"/>
    <w:rsid w:val="00B907B1"/>
    <w:rsid w:val="00B9450C"/>
    <w:rsid w:val="00B947E2"/>
    <w:rsid w:val="00B95AEF"/>
    <w:rsid w:val="00B96FDF"/>
    <w:rsid w:val="00B974BC"/>
    <w:rsid w:val="00B97B5B"/>
    <w:rsid w:val="00BA1B91"/>
    <w:rsid w:val="00BA1E90"/>
    <w:rsid w:val="00BA7630"/>
    <w:rsid w:val="00BA7C6F"/>
    <w:rsid w:val="00BB7AEF"/>
    <w:rsid w:val="00BC1598"/>
    <w:rsid w:val="00BC324F"/>
    <w:rsid w:val="00BC3D73"/>
    <w:rsid w:val="00BC3EEF"/>
    <w:rsid w:val="00BC466F"/>
    <w:rsid w:val="00BC527D"/>
    <w:rsid w:val="00BC6DDA"/>
    <w:rsid w:val="00BC6F36"/>
    <w:rsid w:val="00BC745E"/>
    <w:rsid w:val="00BD00E1"/>
    <w:rsid w:val="00BD208F"/>
    <w:rsid w:val="00BD2B48"/>
    <w:rsid w:val="00BD41ED"/>
    <w:rsid w:val="00BD4F0C"/>
    <w:rsid w:val="00BD57A2"/>
    <w:rsid w:val="00BD5831"/>
    <w:rsid w:val="00BD5911"/>
    <w:rsid w:val="00BD5E30"/>
    <w:rsid w:val="00BD5E4D"/>
    <w:rsid w:val="00BD6C29"/>
    <w:rsid w:val="00BE18EF"/>
    <w:rsid w:val="00BE2770"/>
    <w:rsid w:val="00BE415C"/>
    <w:rsid w:val="00BF0817"/>
    <w:rsid w:val="00BF5004"/>
    <w:rsid w:val="00BF51B0"/>
    <w:rsid w:val="00BF724F"/>
    <w:rsid w:val="00C0044A"/>
    <w:rsid w:val="00C01579"/>
    <w:rsid w:val="00C02835"/>
    <w:rsid w:val="00C030C3"/>
    <w:rsid w:val="00C07485"/>
    <w:rsid w:val="00C078BF"/>
    <w:rsid w:val="00C12D8A"/>
    <w:rsid w:val="00C1381F"/>
    <w:rsid w:val="00C15B38"/>
    <w:rsid w:val="00C20B3A"/>
    <w:rsid w:val="00C23142"/>
    <w:rsid w:val="00C27E30"/>
    <w:rsid w:val="00C31BDB"/>
    <w:rsid w:val="00C32823"/>
    <w:rsid w:val="00C33CBD"/>
    <w:rsid w:val="00C33F44"/>
    <w:rsid w:val="00C34925"/>
    <w:rsid w:val="00C370AB"/>
    <w:rsid w:val="00C42036"/>
    <w:rsid w:val="00C440FC"/>
    <w:rsid w:val="00C47E18"/>
    <w:rsid w:val="00C502CC"/>
    <w:rsid w:val="00C536EA"/>
    <w:rsid w:val="00C53D78"/>
    <w:rsid w:val="00C54D3D"/>
    <w:rsid w:val="00C6114B"/>
    <w:rsid w:val="00C627DD"/>
    <w:rsid w:val="00C6496F"/>
    <w:rsid w:val="00C65766"/>
    <w:rsid w:val="00C67614"/>
    <w:rsid w:val="00C707E0"/>
    <w:rsid w:val="00C70978"/>
    <w:rsid w:val="00C723D1"/>
    <w:rsid w:val="00C747D7"/>
    <w:rsid w:val="00C77125"/>
    <w:rsid w:val="00C77715"/>
    <w:rsid w:val="00C8256C"/>
    <w:rsid w:val="00C86398"/>
    <w:rsid w:val="00C87192"/>
    <w:rsid w:val="00C91FB9"/>
    <w:rsid w:val="00C93659"/>
    <w:rsid w:val="00C958E5"/>
    <w:rsid w:val="00C95EE0"/>
    <w:rsid w:val="00CA04F2"/>
    <w:rsid w:val="00CA06C6"/>
    <w:rsid w:val="00CA22EF"/>
    <w:rsid w:val="00CA24C1"/>
    <w:rsid w:val="00CA3D27"/>
    <w:rsid w:val="00CA61E4"/>
    <w:rsid w:val="00CB0DCB"/>
    <w:rsid w:val="00CB3D03"/>
    <w:rsid w:val="00CB426B"/>
    <w:rsid w:val="00CB442B"/>
    <w:rsid w:val="00CB7C25"/>
    <w:rsid w:val="00CC0FF1"/>
    <w:rsid w:val="00CC2094"/>
    <w:rsid w:val="00CC25B3"/>
    <w:rsid w:val="00CC4D84"/>
    <w:rsid w:val="00CC5B4D"/>
    <w:rsid w:val="00CC6D5E"/>
    <w:rsid w:val="00CD3F85"/>
    <w:rsid w:val="00CE0563"/>
    <w:rsid w:val="00CE3B21"/>
    <w:rsid w:val="00CF03D0"/>
    <w:rsid w:val="00CF06FF"/>
    <w:rsid w:val="00CF1360"/>
    <w:rsid w:val="00CF166B"/>
    <w:rsid w:val="00CF3A89"/>
    <w:rsid w:val="00CF3D13"/>
    <w:rsid w:val="00CF4FF0"/>
    <w:rsid w:val="00D029E0"/>
    <w:rsid w:val="00D03064"/>
    <w:rsid w:val="00D074AB"/>
    <w:rsid w:val="00D112AC"/>
    <w:rsid w:val="00D144BF"/>
    <w:rsid w:val="00D17872"/>
    <w:rsid w:val="00D2193A"/>
    <w:rsid w:val="00D21B21"/>
    <w:rsid w:val="00D21F21"/>
    <w:rsid w:val="00D2472D"/>
    <w:rsid w:val="00D25E1A"/>
    <w:rsid w:val="00D2630C"/>
    <w:rsid w:val="00D2687B"/>
    <w:rsid w:val="00D308CA"/>
    <w:rsid w:val="00D32B2A"/>
    <w:rsid w:val="00D35E39"/>
    <w:rsid w:val="00D3689C"/>
    <w:rsid w:val="00D4250D"/>
    <w:rsid w:val="00D4270E"/>
    <w:rsid w:val="00D42A2A"/>
    <w:rsid w:val="00D42F2E"/>
    <w:rsid w:val="00D45525"/>
    <w:rsid w:val="00D47D32"/>
    <w:rsid w:val="00D47DFE"/>
    <w:rsid w:val="00D501FF"/>
    <w:rsid w:val="00D5034D"/>
    <w:rsid w:val="00D518D5"/>
    <w:rsid w:val="00D51D2E"/>
    <w:rsid w:val="00D51EF8"/>
    <w:rsid w:val="00D6025B"/>
    <w:rsid w:val="00D61400"/>
    <w:rsid w:val="00D6194B"/>
    <w:rsid w:val="00D63247"/>
    <w:rsid w:val="00D63922"/>
    <w:rsid w:val="00D7050F"/>
    <w:rsid w:val="00D712A2"/>
    <w:rsid w:val="00D71396"/>
    <w:rsid w:val="00D72529"/>
    <w:rsid w:val="00D726A1"/>
    <w:rsid w:val="00D73F1E"/>
    <w:rsid w:val="00D75CFB"/>
    <w:rsid w:val="00D75E46"/>
    <w:rsid w:val="00D82623"/>
    <w:rsid w:val="00D84CE4"/>
    <w:rsid w:val="00D8673D"/>
    <w:rsid w:val="00D87241"/>
    <w:rsid w:val="00D9176E"/>
    <w:rsid w:val="00D9530A"/>
    <w:rsid w:val="00D974D2"/>
    <w:rsid w:val="00DA085D"/>
    <w:rsid w:val="00DA3B1E"/>
    <w:rsid w:val="00DA5B82"/>
    <w:rsid w:val="00DA5E1B"/>
    <w:rsid w:val="00DA63FA"/>
    <w:rsid w:val="00DA7F95"/>
    <w:rsid w:val="00DB249D"/>
    <w:rsid w:val="00DB36F4"/>
    <w:rsid w:val="00DB648C"/>
    <w:rsid w:val="00DB66B4"/>
    <w:rsid w:val="00DC139F"/>
    <w:rsid w:val="00DC41EF"/>
    <w:rsid w:val="00DC57A0"/>
    <w:rsid w:val="00DC5CF0"/>
    <w:rsid w:val="00DD2A23"/>
    <w:rsid w:val="00DD55B6"/>
    <w:rsid w:val="00DD619D"/>
    <w:rsid w:val="00DD687F"/>
    <w:rsid w:val="00DE0A9C"/>
    <w:rsid w:val="00DE0FEE"/>
    <w:rsid w:val="00DE1045"/>
    <w:rsid w:val="00DE307B"/>
    <w:rsid w:val="00DE3218"/>
    <w:rsid w:val="00DE5E6B"/>
    <w:rsid w:val="00DE7C61"/>
    <w:rsid w:val="00DF3678"/>
    <w:rsid w:val="00DF6274"/>
    <w:rsid w:val="00DF781C"/>
    <w:rsid w:val="00E026B9"/>
    <w:rsid w:val="00E07F1C"/>
    <w:rsid w:val="00E15396"/>
    <w:rsid w:val="00E23667"/>
    <w:rsid w:val="00E23FB0"/>
    <w:rsid w:val="00E24AA8"/>
    <w:rsid w:val="00E2792A"/>
    <w:rsid w:val="00E3072E"/>
    <w:rsid w:val="00E30E86"/>
    <w:rsid w:val="00E327B3"/>
    <w:rsid w:val="00E33471"/>
    <w:rsid w:val="00E344D8"/>
    <w:rsid w:val="00E34E64"/>
    <w:rsid w:val="00E36F1F"/>
    <w:rsid w:val="00E3724F"/>
    <w:rsid w:val="00E4177B"/>
    <w:rsid w:val="00E42250"/>
    <w:rsid w:val="00E43B29"/>
    <w:rsid w:val="00E44FB3"/>
    <w:rsid w:val="00E47670"/>
    <w:rsid w:val="00E47959"/>
    <w:rsid w:val="00E526E9"/>
    <w:rsid w:val="00E61D4D"/>
    <w:rsid w:val="00E61FFD"/>
    <w:rsid w:val="00E6664C"/>
    <w:rsid w:val="00E671AA"/>
    <w:rsid w:val="00E71A6A"/>
    <w:rsid w:val="00E71DDC"/>
    <w:rsid w:val="00E758DC"/>
    <w:rsid w:val="00E76D13"/>
    <w:rsid w:val="00E8133C"/>
    <w:rsid w:val="00E834EC"/>
    <w:rsid w:val="00E85386"/>
    <w:rsid w:val="00E86D4C"/>
    <w:rsid w:val="00E877EE"/>
    <w:rsid w:val="00E953DD"/>
    <w:rsid w:val="00E96C48"/>
    <w:rsid w:val="00E972F7"/>
    <w:rsid w:val="00EA7B3D"/>
    <w:rsid w:val="00EB5073"/>
    <w:rsid w:val="00EB781B"/>
    <w:rsid w:val="00EC2A34"/>
    <w:rsid w:val="00EC4403"/>
    <w:rsid w:val="00EC7657"/>
    <w:rsid w:val="00ED13D6"/>
    <w:rsid w:val="00ED1DE9"/>
    <w:rsid w:val="00ED27FE"/>
    <w:rsid w:val="00EE2292"/>
    <w:rsid w:val="00EE531D"/>
    <w:rsid w:val="00EE7741"/>
    <w:rsid w:val="00EF2818"/>
    <w:rsid w:val="00EF2CE8"/>
    <w:rsid w:val="00EF4C12"/>
    <w:rsid w:val="00EF6691"/>
    <w:rsid w:val="00EF7839"/>
    <w:rsid w:val="00F02CFB"/>
    <w:rsid w:val="00F06BB2"/>
    <w:rsid w:val="00F10349"/>
    <w:rsid w:val="00F12421"/>
    <w:rsid w:val="00F124BC"/>
    <w:rsid w:val="00F137B7"/>
    <w:rsid w:val="00F13FBA"/>
    <w:rsid w:val="00F1517F"/>
    <w:rsid w:val="00F21A28"/>
    <w:rsid w:val="00F22C03"/>
    <w:rsid w:val="00F23117"/>
    <w:rsid w:val="00F2345E"/>
    <w:rsid w:val="00F23854"/>
    <w:rsid w:val="00F25292"/>
    <w:rsid w:val="00F26E9F"/>
    <w:rsid w:val="00F335C3"/>
    <w:rsid w:val="00F35B54"/>
    <w:rsid w:val="00F3634B"/>
    <w:rsid w:val="00F4028C"/>
    <w:rsid w:val="00F42F5D"/>
    <w:rsid w:val="00F47227"/>
    <w:rsid w:val="00F47F65"/>
    <w:rsid w:val="00F51A59"/>
    <w:rsid w:val="00F530B4"/>
    <w:rsid w:val="00F53319"/>
    <w:rsid w:val="00F6070E"/>
    <w:rsid w:val="00F6300A"/>
    <w:rsid w:val="00F63B3F"/>
    <w:rsid w:val="00F6596B"/>
    <w:rsid w:val="00F70249"/>
    <w:rsid w:val="00F719C7"/>
    <w:rsid w:val="00F80D8F"/>
    <w:rsid w:val="00F82FF9"/>
    <w:rsid w:val="00F83D66"/>
    <w:rsid w:val="00F84A98"/>
    <w:rsid w:val="00F86251"/>
    <w:rsid w:val="00F927E2"/>
    <w:rsid w:val="00F96764"/>
    <w:rsid w:val="00F96F6F"/>
    <w:rsid w:val="00F97B64"/>
    <w:rsid w:val="00FA0EDA"/>
    <w:rsid w:val="00FA2B75"/>
    <w:rsid w:val="00FA35F4"/>
    <w:rsid w:val="00FA42BB"/>
    <w:rsid w:val="00FA5220"/>
    <w:rsid w:val="00FB0A48"/>
    <w:rsid w:val="00FB39F0"/>
    <w:rsid w:val="00FB3E7E"/>
    <w:rsid w:val="00FB609A"/>
    <w:rsid w:val="00FB616F"/>
    <w:rsid w:val="00FB6E06"/>
    <w:rsid w:val="00FC33FB"/>
    <w:rsid w:val="00FC59CC"/>
    <w:rsid w:val="00FC7B1E"/>
    <w:rsid w:val="00FD0F3D"/>
    <w:rsid w:val="00FD25E7"/>
    <w:rsid w:val="00FD355B"/>
    <w:rsid w:val="00FD3BE7"/>
    <w:rsid w:val="00FD3EBD"/>
    <w:rsid w:val="00FD477B"/>
    <w:rsid w:val="00FD5F33"/>
    <w:rsid w:val="00FD7859"/>
    <w:rsid w:val="00FE03A2"/>
    <w:rsid w:val="00FE6E71"/>
    <w:rsid w:val="00FE77A6"/>
    <w:rsid w:val="00FF2E87"/>
    <w:rsid w:val="00FF32F9"/>
    <w:rsid w:val="00FF7B3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DA1FD4"/>
  <w15:chartTrackingRefBased/>
  <w15:docId w15:val="{ACB2CE5E-B76C-48D1-9263-30B6ACDF97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29E"/>
    <w:pPr>
      <w:spacing w:after="170" w:line="340" w:lineRule="exact"/>
      <w:jc w:val="both"/>
    </w:pPr>
    <w:rPr>
      <w:rFonts w:ascii="Palatino Linotype" w:eastAsia="Times New Roman" w:hAnsi="Palatino Linotype" w:cs="Times New Roman"/>
      <w:spacing w:val="2"/>
      <w:kern w:val="16"/>
      <w14:ligatures w14:val="standardContextual"/>
      <w14:numForm w14:val="oldStyle"/>
      <w14:numSpacing w14:val="proportional"/>
    </w:rPr>
  </w:style>
  <w:style w:type="paragraph" w:styleId="Heading1">
    <w:name w:val="heading 1"/>
    <w:basedOn w:val="Normal"/>
    <w:next w:val="Normal"/>
    <w:link w:val="Heading1Char"/>
    <w:autoRedefine/>
    <w:uiPriority w:val="9"/>
    <w:qFormat/>
    <w:rsid w:val="0054029E"/>
    <w:pPr>
      <w:keepNext/>
      <w:keepLines/>
      <w:numPr>
        <w:numId w:val="2"/>
      </w:numPr>
      <w:suppressAutoHyphens/>
      <w:spacing w:before="220"/>
      <w:outlineLvl w:val="0"/>
    </w:pPr>
    <w:rPr>
      <w:rFonts w:eastAsiaTheme="majorEastAsia" w:cs="Times New Roman (Headings CS)"/>
      <w:b/>
      <w:caps/>
      <w:spacing w:val="13"/>
      <w:szCs w:val="48"/>
      <w14:numForm w14:val="lining"/>
      <w14:numSpacing w14:val="tabular"/>
    </w:rPr>
  </w:style>
  <w:style w:type="paragraph" w:styleId="Heading2">
    <w:name w:val="heading 2"/>
    <w:basedOn w:val="Normal"/>
    <w:next w:val="Normal"/>
    <w:link w:val="Heading2Char"/>
    <w:autoRedefine/>
    <w:uiPriority w:val="9"/>
    <w:unhideWhenUsed/>
    <w:qFormat/>
    <w:rsid w:val="00EF6691"/>
    <w:pPr>
      <w:keepNext/>
      <w:keepLines/>
      <w:suppressAutoHyphens/>
      <w:spacing w:before="170" w:line="240" w:lineRule="auto"/>
      <w:outlineLvl w:val="1"/>
    </w:pPr>
    <w:rPr>
      <w:rFonts w:eastAsiaTheme="majorEastAsia" w:cs="Times New Roman (Headings CS)"/>
      <w:b/>
      <w:color w:val="000000"/>
    </w:rPr>
  </w:style>
  <w:style w:type="paragraph" w:styleId="Heading3">
    <w:name w:val="heading 3"/>
    <w:basedOn w:val="Normal"/>
    <w:next w:val="Normal"/>
    <w:link w:val="Heading3Char"/>
    <w:autoRedefine/>
    <w:uiPriority w:val="9"/>
    <w:unhideWhenUsed/>
    <w:qFormat/>
    <w:rsid w:val="00F82FF9"/>
    <w:pPr>
      <w:keepNext/>
      <w:numPr>
        <w:ilvl w:val="2"/>
        <w:numId w:val="2"/>
      </w:numPr>
      <w:suppressAutoHyphens/>
      <w:outlineLvl w:val="2"/>
    </w:pPr>
    <w:rPr>
      <w:b/>
      <w:i/>
      <w:spacing w:val="0"/>
    </w:rPr>
  </w:style>
  <w:style w:type="paragraph" w:styleId="Heading4">
    <w:name w:val="heading 4"/>
    <w:basedOn w:val="Normal"/>
    <w:next w:val="Normal"/>
    <w:link w:val="Heading4Char"/>
    <w:uiPriority w:val="9"/>
    <w:unhideWhenUsed/>
    <w:qFormat/>
    <w:rsid w:val="00F82FF9"/>
    <w:pPr>
      <w:outlineLvl w:val="3"/>
    </w:pPr>
    <w:rPr>
      <w:b/>
      <w:i/>
      <w:spacing w:val="0"/>
    </w:rPr>
  </w:style>
  <w:style w:type="paragraph" w:styleId="Heading5">
    <w:name w:val="heading 5"/>
    <w:basedOn w:val="Normal"/>
    <w:next w:val="Normal"/>
    <w:link w:val="Heading5Char"/>
    <w:uiPriority w:val="9"/>
    <w:unhideWhenUsed/>
    <w:rsid w:val="00D5034D"/>
    <w:pPr>
      <w:keepNext/>
      <w:keepLines/>
      <w:spacing w:before="240"/>
      <w:outlineLvl w:val="4"/>
    </w:pPr>
    <w:rPr>
      <w:rFonts w:eastAsiaTheme="majorEastAsia" w:cstheme="majorBidi"/>
      <w:bCs/>
      <w:i/>
      <w:iCs/>
    </w:rPr>
  </w:style>
  <w:style w:type="paragraph" w:styleId="Heading6">
    <w:name w:val="heading 6"/>
    <w:basedOn w:val="Normal"/>
    <w:next w:val="Normal"/>
    <w:link w:val="Heading6Char"/>
    <w:uiPriority w:val="9"/>
    <w:unhideWhenUsed/>
    <w:rsid w:val="00D5034D"/>
    <w:pPr>
      <w:keepNext/>
      <w:keepLines/>
      <w:spacing w:before="240"/>
      <w:outlineLvl w:val="5"/>
    </w:pPr>
    <w:rPr>
      <w:rFonts w:eastAsiaTheme="majorEastAsia" w:cstheme="majorBidi"/>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951C77"/>
    <w:pPr>
      <w:spacing w:after="110" w:line="440" w:lineRule="exact"/>
      <w:contextualSpacing/>
      <w:jc w:val="center"/>
    </w:pPr>
    <w:rPr>
      <w:rFonts w:eastAsiaTheme="majorEastAsia" w:cs="Times New Roman (Headings CS)"/>
      <w:spacing w:val="0"/>
      <w:sz w:val="34"/>
      <w:szCs w:val="34"/>
      <w14:numForm w14:val="lining"/>
      <w14:numSpacing w14:val="tabular"/>
    </w:rPr>
  </w:style>
  <w:style w:type="character" w:customStyle="1" w:styleId="TitleChar">
    <w:name w:val="Title Char"/>
    <w:basedOn w:val="DefaultParagraphFont"/>
    <w:link w:val="Title"/>
    <w:uiPriority w:val="10"/>
    <w:rsid w:val="00951C77"/>
    <w:rPr>
      <w:rFonts w:ascii="Palatino Linotype" w:eastAsiaTheme="majorEastAsia" w:hAnsi="Palatino Linotype" w:cs="Times New Roman (Headings CS)"/>
      <w:kern w:val="16"/>
      <w:sz w:val="34"/>
      <w:szCs w:val="34"/>
      <w14:ligatures w14:val="standardContextual"/>
      <w14:numForm w14:val="lining"/>
      <w14:numSpacing w14:val="tabular"/>
    </w:rPr>
  </w:style>
  <w:style w:type="paragraph" w:styleId="Subtitle">
    <w:name w:val="Subtitle"/>
    <w:basedOn w:val="Normal"/>
    <w:next w:val="Normal"/>
    <w:link w:val="SubtitleChar"/>
    <w:uiPriority w:val="11"/>
    <w:qFormat/>
    <w:rsid w:val="00E327B3"/>
    <w:pPr>
      <w:numPr>
        <w:ilvl w:val="1"/>
      </w:numPr>
      <w:jc w:val="center"/>
    </w:pPr>
    <w:rPr>
      <w:rFonts w:eastAsiaTheme="minorEastAsia"/>
    </w:rPr>
  </w:style>
  <w:style w:type="character" w:customStyle="1" w:styleId="SubtitleChar">
    <w:name w:val="Subtitle Char"/>
    <w:basedOn w:val="DefaultParagraphFont"/>
    <w:link w:val="Subtitle"/>
    <w:uiPriority w:val="11"/>
    <w:rsid w:val="00E327B3"/>
    <w:rPr>
      <w:rFonts w:ascii="Minion Pro" w:eastAsiaTheme="minorEastAsia" w:hAnsi="Minion Pro" w:cs="Times New Roman"/>
      <w:sz w:val="24"/>
      <w:szCs w:val="24"/>
    </w:rPr>
  </w:style>
  <w:style w:type="character" w:styleId="Hyperlink">
    <w:name w:val="Hyperlink"/>
    <w:basedOn w:val="DefaultParagraphFont"/>
    <w:uiPriority w:val="99"/>
    <w:unhideWhenUsed/>
    <w:rsid w:val="003C529A"/>
    <w:rPr>
      <w:color w:val="0563C1" w:themeColor="hyperlink"/>
      <w:u w:val="none"/>
    </w:rPr>
  </w:style>
  <w:style w:type="character" w:styleId="UnresolvedMention">
    <w:name w:val="Unresolved Mention"/>
    <w:basedOn w:val="DefaultParagraphFont"/>
    <w:uiPriority w:val="99"/>
    <w:semiHidden/>
    <w:unhideWhenUsed/>
    <w:rsid w:val="00D5034D"/>
    <w:rPr>
      <w:color w:val="808080"/>
      <w:shd w:val="clear" w:color="auto" w:fill="E6E6E6"/>
    </w:rPr>
  </w:style>
  <w:style w:type="paragraph" w:customStyle="1" w:styleId="Abstract">
    <w:name w:val="Abstract"/>
    <w:basedOn w:val="Normal"/>
    <w:link w:val="AbstractChar"/>
    <w:qFormat/>
    <w:rsid w:val="00F82FF9"/>
    <w:pPr>
      <w:ind w:left="720" w:right="720"/>
    </w:pPr>
  </w:style>
  <w:style w:type="character" w:customStyle="1" w:styleId="Heading1Char">
    <w:name w:val="Heading 1 Char"/>
    <w:basedOn w:val="DefaultParagraphFont"/>
    <w:link w:val="Heading1"/>
    <w:uiPriority w:val="9"/>
    <w:rsid w:val="0054029E"/>
    <w:rPr>
      <w:rFonts w:ascii="Palatino Linotype" w:eastAsiaTheme="majorEastAsia" w:hAnsi="Palatino Linotype" w:cs="Times New Roman (Headings CS)"/>
      <w:b/>
      <w:caps/>
      <w:spacing w:val="13"/>
      <w:kern w:val="16"/>
      <w:szCs w:val="48"/>
      <w14:ligatures w14:val="standardContextual"/>
      <w14:numForm w14:val="lining"/>
      <w14:numSpacing w14:val="tabular"/>
    </w:rPr>
  </w:style>
  <w:style w:type="character" w:customStyle="1" w:styleId="AbstractChar">
    <w:name w:val="Abstract Char"/>
    <w:basedOn w:val="DefaultParagraphFont"/>
    <w:link w:val="Abstract"/>
    <w:rsid w:val="00F82FF9"/>
    <w:rPr>
      <w:rFonts w:ascii="Palatino Linotype" w:eastAsia="Times New Roman" w:hAnsi="Palatino Linotype" w:cs="Times New Roman"/>
      <w:spacing w:val="1"/>
      <w:kern w:val="16"/>
      <w14:ligatures w14:val="standardContextual"/>
      <w14:numForm w14:val="oldStyle"/>
      <w14:numSpacing w14:val="proportional"/>
    </w:rPr>
  </w:style>
  <w:style w:type="table" w:customStyle="1" w:styleId="JDF">
    <w:name w:val="JDF"/>
    <w:basedOn w:val="TableNormal"/>
    <w:uiPriority w:val="99"/>
    <w:rsid w:val="00BC6DDA"/>
    <w:pPr>
      <w:spacing w:after="0" w:line="280" w:lineRule="exact"/>
    </w:pPr>
    <w:rPr>
      <w:rFonts w:ascii="Palatino Linotype" w:hAnsi="Palatino Linotype" w:cs="Times New Roman (Body CS)"/>
      <w:spacing w:val="2"/>
      <w:kern w:val="11"/>
      <w:sz w:val="17"/>
      <w14:ligatures w14:val="standardContextual"/>
      <w14:numForm w14:val="lining"/>
      <w14:numSpacing w14:val="tabular"/>
    </w:rPr>
    <w:tblPr>
      <w:jc w:val="center"/>
      <w:tblBorders>
        <w:top w:val="single" w:sz="2" w:space="0" w:color="D9D9D9" w:themeColor="background1" w:themeShade="D9"/>
        <w:insideH w:val="single" w:sz="2" w:space="0" w:color="D9D9D9" w:themeColor="background1" w:themeShade="D9"/>
      </w:tblBorders>
      <w:tblCellMar>
        <w:left w:w="0" w:type="dxa"/>
        <w:right w:w="0" w:type="dxa"/>
      </w:tblCellMar>
    </w:tblPr>
    <w:trPr>
      <w:jc w:val="center"/>
    </w:trPr>
    <w:tcPr>
      <w:tcMar>
        <w:top w:w="101" w:type="dxa"/>
        <w:bottom w:w="0" w:type="dxa"/>
        <w:right w:w="245" w:type="dxa"/>
      </w:tcMar>
    </w:tcPr>
    <w:tblStylePr w:type="firstRow">
      <w:rPr>
        <w:rFonts w:ascii="Palatino Linotype" w:hAnsi="Palatino Linotype"/>
        <w:b/>
        <w:i w:val="0"/>
      </w:rPr>
      <w:tblPr>
        <w:jc w:val="left"/>
      </w:tblPr>
      <w:trPr>
        <w:tblHeader/>
        <w:jc w:val="left"/>
      </w:trPr>
      <w:tcPr>
        <w:tcBorders>
          <w:top w:val="nil"/>
          <w:left w:val="nil"/>
          <w:bottom w:val="single" w:sz="4" w:space="0" w:color="000000" w:themeColor="text1"/>
          <w:right w:val="nil"/>
          <w:insideH w:val="single" w:sz="4" w:space="0" w:color="000000" w:themeColor="text1"/>
          <w:insideV w:val="nil"/>
          <w:tl2br w:val="nil"/>
          <w:tr2bl w:val="nil"/>
        </w:tcBorders>
      </w:tcPr>
    </w:tblStylePr>
    <w:tblStylePr w:type="lastCol">
      <w:tblPr>
        <w:jc w:val="left"/>
      </w:tblPr>
      <w:trPr>
        <w:jc w:val="left"/>
      </w:trPr>
    </w:tblStylePr>
  </w:style>
  <w:style w:type="character" w:customStyle="1" w:styleId="Code">
    <w:name w:val="Code"/>
    <w:basedOn w:val="DefaultParagraphFont"/>
    <w:uiPriority w:val="1"/>
    <w:qFormat/>
    <w:rsid w:val="006403FC"/>
    <w:rPr>
      <w:rFonts w:ascii="Courier" w:hAnsi="Courier"/>
      <w:b w:val="0"/>
      <w:i w:val="0"/>
      <w:spacing w:val="0"/>
      <w:sz w:val="20"/>
    </w:rPr>
  </w:style>
  <w:style w:type="paragraph" w:styleId="FootnoteText">
    <w:name w:val="footnote text"/>
    <w:basedOn w:val="Normal"/>
    <w:link w:val="FootnoteTextChar"/>
    <w:uiPriority w:val="99"/>
    <w:semiHidden/>
    <w:unhideWhenUsed/>
    <w:rsid w:val="00D5034D"/>
    <w:pPr>
      <w:spacing w:after="0" w:line="240" w:lineRule="auto"/>
    </w:pPr>
    <w:rPr>
      <w:sz w:val="20"/>
      <w:szCs w:val="20"/>
    </w:rPr>
  </w:style>
  <w:style w:type="paragraph" w:customStyle="1" w:styleId="Table">
    <w:name w:val="Table"/>
    <w:basedOn w:val="Normal"/>
    <w:qFormat/>
    <w:rsid w:val="00030A1C"/>
    <w:pPr>
      <w:suppressAutoHyphens/>
      <w:spacing w:after="110" w:line="280" w:lineRule="exact"/>
      <w:jc w:val="left"/>
    </w:pPr>
    <w:rPr>
      <w:spacing w:val="3"/>
      <w:sz w:val="17"/>
      <w:szCs w:val="17"/>
      <w14:numForm w14:val="lining"/>
      <w14:numSpacing w14:val="tabular"/>
    </w:rPr>
  </w:style>
  <w:style w:type="character" w:customStyle="1" w:styleId="FootnoteTextChar">
    <w:name w:val="Footnote Text Char"/>
    <w:basedOn w:val="DefaultParagraphFont"/>
    <w:link w:val="FootnoteText"/>
    <w:uiPriority w:val="99"/>
    <w:semiHidden/>
    <w:rsid w:val="00D5034D"/>
    <w:rPr>
      <w:rFonts w:ascii="Crimson Text" w:eastAsia="Times New Roman" w:hAnsi="Crimson Text" w:cs="Times New Roman"/>
      <w:color w:val="000000"/>
      <w:sz w:val="20"/>
      <w:szCs w:val="20"/>
    </w:rPr>
  </w:style>
  <w:style w:type="character" w:styleId="FootnoteReference">
    <w:name w:val="footnote reference"/>
    <w:basedOn w:val="DefaultParagraphFont"/>
    <w:uiPriority w:val="99"/>
    <w:semiHidden/>
    <w:unhideWhenUsed/>
    <w:rsid w:val="00D5034D"/>
    <w:rPr>
      <w:vertAlign w:val="superscript"/>
    </w:rPr>
  </w:style>
  <w:style w:type="paragraph" w:customStyle="1" w:styleId="Footnote">
    <w:name w:val="Footnote"/>
    <w:basedOn w:val="CaptionText"/>
    <w:link w:val="FootnoteChar"/>
    <w:qFormat/>
    <w:rsid w:val="00450874"/>
    <w:pPr>
      <w:ind w:left="0" w:right="0"/>
    </w:pPr>
  </w:style>
  <w:style w:type="character" w:customStyle="1" w:styleId="Heading2Char">
    <w:name w:val="Heading 2 Char"/>
    <w:basedOn w:val="DefaultParagraphFont"/>
    <w:link w:val="Heading2"/>
    <w:uiPriority w:val="9"/>
    <w:rsid w:val="00EF6691"/>
    <w:rPr>
      <w:rFonts w:ascii="Palatino Linotype" w:eastAsiaTheme="majorEastAsia" w:hAnsi="Palatino Linotype" w:cs="Times New Roman (Headings CS)"/>
      <w:b/>
      <w:color w:val="000000"/>
      <w:spacing w:val="2"/>
      <w:kern w:val="16"/>
      <w14:ligatures w14:val="standardContextual"/>
      <w14:numForm w14:val="oldStyle"/>
      <w14:numSpacing w14:val="proportional"/>
    </w:rPr>
  </w:style>
  <w:style w:type="character" w:customStyle="1" w:styleId="FootnoteChar">
    <w:name w:val="Footnote Char"/>
    <w:basedOn w:val="FootnoteTextChar"/>
    <w:link w:val="Footnote"/>
    <w:rsid w:val="00450874"/>
    <w:rPr>
      <w:rFonts w:ascii="Palatino Linotype" w:eastAsia="Times New Roman" w:hAnsi="Palatino Linotype" w:cs="Times New Roman"/>
      <w:bCs/>
      <w:color w:val="000000"/>
      <w:spacing w:val="2"/>
      <w:kern w:val="16"/>
      <w:sz w:val="17"/>
      <w:szCs w:val="20"/>
      <w14:ligatures w14:val="standardContextual"/>
      <w14:numForm w14:val="oldStyle"/>
      <w14:numSpacing w14:val="proportional"/>
    </w:rPr>
  </w:style>
  <w:style w:type="character" w:customStyle="1" w:styleId="Heading3Char">
    <w:name w:val="Heading 3 Char"/>
    <w:basedOn w:val="DefaultParagraphFont"/>
    <w:link w:val="Heading3"/>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4Char">
    <w:name w:val="Heading 4 Char"/>
    <w:basedOn w:val="DefaultParagraphFont"/>
    <w:link w:val="Heading4"/>
    <w:uiPriority w:val="9"/>
    <w:rsid w:val="00F82FF9"/>
    <w:rPr>
      <w:rFonts w:ascii="Palatino Linotype" w:eastAsia="Times New Roman" w:hAnsi="Palatino Linotype" w:cs="Times New Roman"/>
      <w:b/>
      <w:i/>
      <w:kern w:val="16"/>
      <w14:ligatures w14:val="standardContextual"/>
      <w14:numForm w14:val="oldStyle"/>
      <w14:numSpacing w14:val="proportional"/>
    </w:rPr>
  </w:style>
  <w:style w:type="character" w:customStyle="1" w:styleId="Heading5Char">
    <w:name w:val="Heading 5 Char"/>
    <w:basedOn w:val="DefaultParagraphFont"/>
    <w:link w:val="Heading5"/>
    <w:uiPriority w:val="9"/>
    <w:rsid w:val="00D5034D"/>
    <w:rPr>
      <w:rFonts w:ascii="Crimson Text" w:eastAsiaTheme="majorEastAsia" w:hAnsi="Crimson Text" w:cstheme="majorBidi"/>
      <w:bCs/>
      <w:i/>
      <w:iCs/>
      <w:color w:val="000000"/>
      <w:sz w:val="24"/>
      <w:szCs w:val="24"/>
    </w:rPr>
  </w:style>
  <w:style w:type="character" w:customStyle="1" w:styleId="Heading6Char">
    <w:name w:val="Heading 6 Char"/>
    <w:basedOn w:val="DefaultParagraphFont"/>
    <w:link w:val="Heading6"/>
    <w:uiPriority w:val="9"/>
    <w:rsid w:val="00D5034D"/>
    <w:rPr>
      <w:rFonts w:ascii="Crimson Text" w:eastAsiaTheme="majorEastAsia" w:hAnsi="Crimson Text" w:cstheme="majorBidi"/>
      <w:bCs/>
      <w:color w:val="000000"/>
      <w:sz w:val="24"/>
      <w:szCs w:val="24"/>
    </w:rPr>
  </w:style>
  <w:style w:type="paragraph" w:styleId="Header">
    <w:name w:val="header"/>
    <w:basedOn w:val="Normal"/>
    <w:link w:val="HeaderChar"/>
    <w:uiPriority w:val="99"/>
    <w:unhideWhenUsed/>
    <w:rsid w:val="00D503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D5034D"/>
    <w:rPr>
      <w:rFonts w:ascii="Crimson Text" w:eastAsia="Times New Roman" w:hAnsi="Crimson Text" w:cs="Times New Roman"/>
      <w:color w:val="000000"/>
      <w:sz w:val="24"/>
      <w:szCs w:val="24"/>
    </w:rPr>
  </w:style>
  <w:style w:type="paragraph" w:styleId="Footer">
    <w:name w:val="footer"/>
    <w:basedOn w:val="Normal"/>
    <w:link w:val="FooterChar"/>
    <w:uiPriority w:val="99"/>
    <w:unhideWhenUsed/>
    <w:rsid w:val="00D503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D5034D"/>
    <w:rPr>
      <w:rFonts w:ascii="Crimson Text" w:eastAsia="Times New Roman" w:hAnsi="Crimson Text" w:cs="Times New Roman"/>
      <w:color w:val="000000"/>
      <w:sz w:val="24"/>
      <w:szCs w:val="24"/>
    </w:rPr>
  </w:style>
  <w:style w:type="paragraph" w:customStyle="1" w:styleId="CaptionText">
    <w:name w:val="CaptionText"/>
    <w:basedOn w:val="Normal"/>
    <w:link w:val="CaptionTextChar"/>
    <w:autoRedefine/>
    <w:qFormat/>
    <w:rsid w:val="0054029E"/>
    <w:pPr>
      <w:spacing w:after="110" w:line="280" w:lineRule="exact"/>
      <w:ind w:left="1440" w:right="1440"/>
    </w:pPr>
    <w:rPr>
      <w:bCs/>
      <w:spacing w:val="3"/>
      <w:sz w:val="17"/>
      <w:szCs w:val="20"/>
    </w:rPr>
  </w:style>
  <w:style w:type="table" w:styleId="TableGrid">
    <w:name w:val="Table Grid"/>
    <w:basedOn w:val="TableNormal"/>
    <w:uiPriority w:val="39"/>
    <w:rsid w:val="001C73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TextChar">
    <w:name w:val="CaptionText Char"/>
    <w:basedOn w:val="DefaultParagraphFont"/>
    <w:link w:val="CaptionText"/>
    <w:rsid w:val="0054029E"/>
    <w:rPr>
      <w:rFonts w:ascii="Palatino Linotype" w:eastAsia="Times New Roman" w:hAnsi="Palatino Linotype" w:cs="Times New Roman"/>
      <w:bCs/>
      <w:spacing w:val="3"/>
      <w:kern w:val="16"/>
      <w:sz w:val="17"/>
      <w:szCs w:val="20"/>
      <w14:ligatures w14:val="standardContextual"/>
      <w14:numForm w14:val="oldStyle"/>
      <w14:numSpacing w14:val="proportional"/>
    </w:rPr>
  </w:style>
  <w:style w:type="paragraph" w:customStyle="1" w:styleId="NumberedList">
    <w:name w:val="NumberedList"/>
    <w:basedOn w:val="BulletedList"/>
    <w:link w:val="NumberedListChar"/>
    <w:qFormat/>
    <w:rsid w:val="00450874"/>
    <w:pPr>
      <w:numPr>
        <w:numId w:val="1"/>
      </w:numPr>
      <w:ind w:left="360"/>
    </w:pPr>
  </w:style>
  <w:style w:type="paragraph" w:customStyle="1" w:styleId="BulletedList">
    <w:name w:val="BulletedList"/>
    <w:basedOn w:val="ListParagraph"/>
    <w:link w:val="BulletedListChar"/>
    <w:qFormat/>
    <w:rsid w:val="00450874"/>
    <w:pPr>
      <w:numPr>
        <w:numId w:val="3"/>
      </w:numPr>
      <w:ind w:left="360"/>
    </w:pPr>
  </w:style>
  <w:style w:type="character" w:customStyle="1" w:styleId="NumberedListChar">
    <w:name w:val="NumberedList Char"/>
    <w:basedOn w:val="DefaultParagraphFont"/>
    <w:link w:val="Number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character" w:customStyle="1" w:styleId="BulletedListChar">
    <w:name w:val="BulletedList Char"/>
    <w:basedOn w:val="DefaultParagraphFont"/>
    <w:link w:val="BulletedList"/>
    <w:rsid w:val="00450874"/>
    <w:rPr>
      <w:rFonts w:ascii="Palatino Linotype" w:eastAsia="Times New Roman" w:hAnsi="Palatino Linotype" w:cs="Times New Roman"/>
      <w:spacing w:val="2"/>
      <w:kern w:val="16"/>
      <w14:ligatures w14:val="standardContextual"/>
      <w14:numForm w14:val="oldStyle"/>
      <w14:numSpacing w14:val="proportional"/>
    </w:rPr>
  </w:style>
  <w:style w:type="paragraph" w:styleId="ListParagraph">
    <w:name w:val="List Paragraph"/>
    <w:basedOn w:val="Normal"/>
    <w:uiPriority w:val="34"/>
    <w:rsid w:val="00B65552"/>
    <w:pPr>
      <w:ind w:left="720"/>
      <w:contextualSpacing/>
    </w:pPr>
  </w:style>
  <w:style w:type="paragraph" w:styleId="BalloonText">
    <w:name w:val="Balloon Text"/>
    <w:basedOn w:val="Normal"/>
    <w:link w:val="BalloonTextChar"/>
    <w:uiPriority w:val="99"/>
    <w:semiHidden/>
    <w:unhideWhenUsed/>
    <w:rsid w:val="0055158D"/>
    <w:pPr>
      <w:spacing w:after="0" w:line="240" w:lineRule="auto"/>
    </w:pPr>
    <w:rPr>
      <w:sz w:val="18"/>
      <w:szCs w:val="18"/>
    </w:rPr>
  </w:style>
  <w:style w:type="character" w:customStyle="1" w:styleId="BalloonTextChar">
    <w:name w:val="Balloon Text Char"/>
    <w:basedOn w:val="DefaultParagraphFont"/>
    <w:link w:val="BalloonText"/>
    <w:uiPriority w:val="99"/>
    <w:semiHidden/>
    <w:rsid w:val="0055158D"/>
    <w:rPr>
      <w:rFonts w:ascii="Times New Roman" w:eastAsia="Times New Roman" w:hAnsi="Times New Roman" w:cs="Times New Roman"/>
      <w:sz w:val="18"/>
      <w:szCs w:val="18"/>
    </w:rPr>
  </w:style>
  <w:style w:type="paragraph" w:customStyle="1" w:styleId="Blockquote">
    <w:name w:val="Block quote"/>
    <w:basedOn w:val="Normal"/>
    <w:qFormat/>
    <w:rsid w:val="00547E40"/>
    <w:pPr>
      <w:ind w:left="720" w:right="720"/>
    </w:pPr>
  </w:style>
  <w:style w:type="character" w:styleId="PageNumber">
    <w:name w:val="page number"/>
    <w:basedOn w:val="DefaultParagraphFont"/>
    <w:uiPriority w:val="99"/>
    <w:semiHidden/>
    <w:unhideWhenUsed/>
    <w:rsid w:val="006D3558"/>
  </w:style>
  <w:style w:type="paragraph" w:styleId="NormalWeb">
    <w:name w:val="Normal (Web)"/>
    <w:basedOn w:val="Normal"/>
    <w:uiPriority w:val="99"/>
    <w:semiHidden/>
    <w:unhideWhenUsed/>
    <w:rsid w:val="00D144BF"/>
    <w:rPr>
      <w:rFonts w:ascii="Times New Roman" w:hAnsi="Times New Roman"/>
      <w:sz w:val="24"/>
      <w:szCs w:val="24"/>
    </w:rPr>
  </w:style>
  <w:style w:type="character" w:customStyle="1" w:styleId="CAPS">
    <w:name w:val="CAPS"/>
    <w:basedOn w:val="DefaultParagraphFont"/>
    <w:uiPriority w:val="1"/>
    <w:qFormat/>
    <w:rsid w:val="00CC25B3"/>
    <w:rPr>
      <w:caps/>
      <w:smallCaps w:val="0"/>
      <w:spacing w:val="11"/>
      <w14:numForm w14:val="lining"/>
      <w14:numSpacing w14:val="proportional"/>
    </w:rPr>
  </w:style>
  <w:style w:type="paragraph" w:customStyle="1" w:styleId="FigureCaption">
    <w:name w:val="Figure Caption"/>
    <w:basedOn w:val="CaptionText"/>
    <w:qFormat/>
    <w:rsid w:val="0054029E"/>
    <w:pPr>
      <w:numPr>
        <w:numId w:val="4"/>
      </w:numPr>
      <w:tabs>
        <w:tab w:val="left" w:pos="2250"/>
        <w:tab w:val="left" w:pos="2275"/>
        <w:tab w:val="left" w:pos="2304"/>
        <w:tab w:val="left" w:pos="2333"/>
        <w:tab w:val="left" w:pos="2362"/>
      </w:tabs>
      <w:ind w:firstLine="0"/>
    </w:pPr>
  </w:style>
  <w:style w:type="paragraph" w:customStyle="1" w:styleId="TableCaption">
    <w:name w:val="Table Caption"/>
    <w:basedOn w:val="CaptionText"/>
    <w:qFormat/>
    <w:rsid w:val="0054029E"/>
    <w:pPr>
      <w:numPr>
        <w:numId w:val="5"/>
      </w:numPr>
      <w:tabs>
        <w:tab w:val="left" w:pos="2250"/>
        <w:tab w:val="left" w:pos="2275"/>
        <w:tab w:val="left" w:pos="2304"/>
        <w:tab w:val="left" w:pos="2333"/>
        <w:tab w:val="left" w:pos="2362"/>
      </w:tabs>
      <w:ind w:left="1440" w:firstLine="0"/>
    </w:pPr>
  </w:style>
  <w:style w:type="character" w:styleId="PlaceholderText">
    <w:name w:val="Placeholder Text"/>
    <w:basedOn w:val="DefaultParagraphFont"/>
    <w:uiPriority w:val="99"/>
    <w:semiHidden/>
    <w:rsid w:val="0077219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78256">
      <w:bodyDiv w:val="1"/>
      <w:marLeft w:val="0"/>
      <w:marRight w:val="0"/>
      <w:marTop w:val="0"/>
      <w:marBottom w:val="0"/>
      <w:divBdr>
        <w:top w:val="none" w:sz="0" w:space="0" w:color="auto"/>
        <w:left w:val="none" w:sz="0" w:space="0" w:color="auto"/>
        <w:bottom w:val="none" w:sz="0" w:space="0" w:color="auto"/>
        <w:right w:val="none" w:sz="0" w:space="0" w:color="auto"/>
      </w:divBdr>
    </w:div>
    <w:div w:id="106395676">
      <w:bodyDiv w:val="1"/>
      <w:marLeft w:val="0"/>
      <w:marRight w:val="0"/>
      <w:marTop w:val="0"/>
      <w:marBottom w:val="0"/>
      <w:divBdr>
        <w:top w:val="none" w:sz="0" w:space="0" w:color="auto"/>
        <w:left w:val="none" w:sz="0" w:space="0" w:color="auto"/>
        <w:bottom w:val="none" w:sz="0" w:space="0" w:color="auto"/>
        <w:right w:val="none" w:sz="0" w:space="0" w:color="auto"/>
      </w:divBdr>
    </w:div>
    <w:div w:id="140656059">
      <w:bodyDiv w:val="1"/>
      <w:marLeft w:val="0"/>
      <w:marRight w:val="0"/>
      <w:marTop w:val="0"/>
      <w:marBottom w:val="0"/>
      <w:divBdr>
        <w:top w:val="none" w:sz="0" w:space="0" w:color="auto"/>
        <w:left w:val="none" w:sz="0" w:space="0" w:color="auto"/>
        <w:bottom w:val="none" w:sz="0" w:space="0" w:color="auto"/>
        <w:right w:val="none" w:sz="0" w:space="0" w:color="auto"/>
      </w:divBdr>
    </w:div>
    <w:div w:id="149294627">
      <w:bodyDiv w:val="1"/>
      <w:marLeft w:val="0"/>
      <w:marRight w:val="0"/>
      <w:marTop w:val="0"/>
      <w:marBottom w:val="0"/>
      <w:divBdr>
        <w:top w:val="none" w:sz="0" w:space="0" w:color="auto"/>
        <w:left w:val="none" w:sz="0" w:space="0" w:color="auto"/>
        <w:bottom w:val="none" w:sz="0" w:space="0" w:color="auto"/>
        <w:right w:val="none" w:sz="0" w:space="0" w:color="auto"/>
      </w:divBdr>
    </w:div>
    <w:div w:id="149829649">
      <w:bodyDiv w:val="1"/>
      <w:marLeft w:val="0"/>
      <w:marRight w:val="0"/>
      <w:marTop w:val="0"/>
      <w:marBottom w:val="0"/>
      <w:divBdr>
        <w:top w:val="none" w:sz="0" w:space="0" w:color="auto"/>
        <w:left w:val="none" w:sz="0" w:space="0" w:color="auto"/>
        <w:bottom w:val="none" w:sz="0" w:space="0" w:color="auto"/>
        <w:right w:val="none" w:sz="0" w:space="0" w:color="auto"/>
      </w:divBdr>
    </w:div>
    <w:div w:id="158159579">
      <w:bodyDiv w:val="1"/>
      <w:marLeft w:val="0"/>
      <w:marRight w:val="0"/>
      <w:marTop w:val="0"/>
      <w:marBottom w:val="0"/>
      <w:divBdr>
        <w:top w:val="none" w:sz="0" w:space="0" w:color="auto"/>
        <w:left w:val="none" w:sz="0" w:space="0" w:color="auto"/>
        <w:bottom w:val="none" w:sz="0" w:space="0" w:color="auto"/>
        <w:right w:val="none" w:sz="0" w:space="0" w:color="auto"/>
      </w:divBdr>
    </w:div>
    <w:div w:id="199050054">
      <w:bodyDiv w:val="1"/>
      <w:marLeft w:val="0"/>
      <w:marRight w:val="0"/>
      <w:marTop w:val="0"/>
      <w:marBottom w:val="0"/>
      <w:divBdr>
        <w:top w:val="none" w:sz="0" w:space="0" w:color="auto"/>
        <w:left w:val="none" w:sz="0" w:space="0" w:color="auto"/>
        <w:bottom w:val="none" w:sz="0" w:space="0" w:color="auto"/>
        <w:right w:val="none" w:sz="0" w:space="0" w:color="auto"/>
      </w:divBdr>
    </w:div>
    <w:div w:id="205534493">
      <w:bodyDiv w:val="1"/>
      <w:marLeft w:val="0"/>
      <w:marRight w:val="0"/>
      <w:marTop w:val="0"/>
      <w:marBottom w:val="0"/>
      <w:divBdr>
        <w:top w:val="none" w:sz="0" w:space="0" w:color="auto"/>
        <w:left w:val="none" w:sz="0" w:space="0" w:color="auto"/>
        <w:bottom w:val="none" w:sz="0" w:space="0" w:color="auto"/>
        <w:right w:val="none" w:sz="0" w:space="0" w:color="auto"/>
      </w:divBdr>
    </w:div>
    <w:div w:id="288248052">
      <w:bodyDiv w:val="1"/>
      <w:marLeft w:val="0"/>
      <w:marRight w:val="0"/>
      <w:marTop w:val="0"/>
      <w:marBottom w:val="0"/>
      <w:divBdr>
        <w:top w:val="none" w:sz="0" w:space="0" w:color="auto"/>
        <w:left w:val="none" w:sz="0" w:space="0" w:color="auto"/>
        <w:bottom w:val="none" w:sz="0" w:space="0" w:color="auto"/>
        <w:right w:val="none" w:sz="0" w:space="0" w:color="auto"/>
      </w:divBdr>
    </w:div>
    <w:div w:id="297105986">
      <w:bodyDiv w:val="1"/>
      <w:marLeft w:val="0"/>
      <w:marRight w:val="0"/>
      <w:marTop w:val="0"/>
      <w:marBottom w:val="0"/>
      <w:divBdr>
        <w:top w:val="none" w:sz="0" w:space="0" w:color="auto"/>
        <w:left w:val="none" w:sz="0" w:space="0" w:color="auto"/>
        <w:bottom w:val="none" w:sz="0" w:space="0" w:color="auto"/>
        <w:right w:val="none" w:sz="0" w:space="0" w:color="auto"/>
      </w:divBdr>
    </w:div>
    <w:div w:id="299967108">
      <w:bodyDiv w:val="1"/>
      <w:marLeft w:val="0"/>
      <w:marRight w:val="0"/>
      <w:marTop w:val="0"/>
      <w:marBottom w:val="0"/>
      <w:divBdr>
        <w:top w:val="none" w:sz="0" w:space="0" w:color="auto"/>
        <w:left w:val="none" w:sz="0" w:space="0" w:color="auto"/>
        <w:bottom w:val="none" w:sz="0" w:space="0" w:color="auto"/>
        <w:right w:val="none" w:sz="0" w:space="0" w:color="auto"/>
      </w:divBdr>
    </w:div>
    <w:div w:id="303245614">
      <w:bodyDiv w:val="1"/>
      <w:marLeft w:val="0"/>
      <w:marRight w:val="0"/>
      <w:marTop w:val="0"/>
      <w:marBottom w:val="0"/>
      <w:divBdr>
        <w:top w:val="none" w:sz="0" w:space="0" w:color="auto"/>
        <w:left w:val="none" w:sz="0" w:space="0" w:color="auto"/>
        <w:bottom w:val="none" w:sz="0" w:space="0" w:color="auto"/>
        <w:right w:val="none" w:sz="0" w:space="0" w:color="auto"/>
      </w:divBdr>
      <w:divsChild>
        <w:div w:id="836002056">
          <w:marLeft w:val="0"/>
          <w:marRight w:val="0"/>
          <w:marTop w:val="0"/>
          <w:marBottom w:val="0"/>
          <w:divBdr>
            <w:top w:val="none" w:sz="0" w:space="0" w:color="auto"/>
            <w:left w:val="none" w:sz="0" w:space="0" w:color="auto"/>
            <w:bottom w:val="none" w:sz="0" w:space="0" w:color="auto"/>
            <w:right w:val="none" w:sz="0" w:space="0" w:color="auto"/>
          </w:divBdr>
        </w:div>
      </w:divsChild>
    </w:div>
    <w:div w:id="324868225">
      <w:bodyDiv w:val="1"/>
      <w:marLeft w:val="0"/>
      <w:marRight w:val="0"/>
      <w:marTop w:val="0"/>
      <w:marBottom w:val="0"/>
      <w:divBdr>
        <w:top w:val="none" w:sz="0" w:space="0" w:color="auto"/>
        <w:left w:val="none" w:sz="0" w:space="0" w:color="auto"/>
        <w:bottom w:val="none" w:sz="0" w:space="0" w:color="auto"/>
        <w:right w:val="none" w:sz="0" w:space="0" w:color="auto"/>
      </w:divBdr>
      <w:divsChild>
        <w:div w:id="1759061665">
          <w:marLeft w:val="0"/>
          <w:marRight w:val="0"/>
          <w:marTop w:val="0"/>
          <w:marBottom w:val="0"/>
          <w:divBdr>
            <w:top w:val="none" w:sz="0" w:space="0" w:color="auto"/>
            <w:left w:val="none" w:sz="0" w:space="0" w:color="auto"/>
            <w:bottom w:val="none" w:sz="0" w:space="0" w:color="auto"/>
            <w:right w:val="none" w:sz="0" w:space="0" w:color="auto"/>
          </w:divBdr>
          <w:divsChild>
            <w:div w:id="1392539776">
              <w:marLeft w:val="0"/>
              <w:marRight w:val="0"/>
              <w:marTop w:val="0"/>
              <w:marBottom w:val="0"/>
              <w:divBdr>
                <w:top w:val="none" w:sz="0" w:space="0" w:color="auto"/>
                <w:left w:val="none" w:sz="0" w:space="0" w:color="auto"/>
                <w:bottom w:val="none" w:sz="0" w:space="0" w:color="auto"/>
                <w:right w:val="none" w:sz="0" w:space="0" w:color="auto"/>
              </w:divBdr>
              <w:divsChild>
                <w:div w:id="554973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5582580">
      <w:bodyDiv w:val="1"/>
      <w:marLeft w:val="0"/>
      <w:marRight w:val="0"/>
      <w:marTop w:val="0"/>
      <w:marBottom w:val="0"/>
      <w:divBdr>
        <w:top w:val="none" w:sz="0" w:space="0" w:color="auto"/>
        <w:left w:val="none" w:sz="0" w:space="0" w:color="auto"/>
        <w:bottom w:val="none" w:sz="0" w:space="0" w:color="auto"/>
        <w:right w:val="none" w:sz="0" w:space="0" w:color="auto"/>
      </w:divBdr>
    </w:div>
    <w:div w:id="652754697">
      <w:bodyDiv w:val="1"/>
      <w:marLeft w:val="0"/>
      <w:marRight w:val="0"/>
      <w:marTop w:val="0"/>
      <w:marBottom w:val="0"/>
      <w:divBdr>
        <w:top w:val="none" w:sz="0" w:space="0" w:color="auto"/>
        <w:left w:val="none" w:sz="0" w:space="0" w:color="auto"/>
        <w:bottom w:val="none" w:sz="0" w:space="0" w:color="auto"/>
        <w:right w:val="none" w:sz="0" w:space="0" w:color="auto"/>
      </w:divBdr>
    </w:div>
    <w:div w:id="667639773">
      <w:bodyDiv w:val="1"/>
      <w:marLeft w:val="0"/>
      <w:marRight w:val="0"/>
      <w:marTop w:val="0"/>
      <w:marBottom w:val="0"/>
      <w:divBdr>
        <w:top w:val="none" w:sz="0" w:space="0" w:color="auto"/>
        <w:left w:val="none" w:sz="0" w:space="0" w:color="auto"/>
        <w:bottom w:val="none" w:sz="0" w:space="0" w:color="auto"/>
        <w:right w:val="none" w:sz="0" w:space="0" w:color="auto"/>
      </w:divBdr>
    </w:div>
    <w:div w:id="668677835">
      <w:bodyDiv w:val="1"/>
      <w:marLeft w:val="0"/>
      <w:marRight w:val="0"/>
      <w:marTop w:val="0"/>
      <w:marBottom w:val="0"/>
      <w:divBdr>
        <w:top w:val="none" w:sz="0" w:space="0" w:color="auto"/>
        <w:left w:val="none" w:sz="0" w:space="0" w:color="auto"/>
        <w:bottom w:val="none" w:sz="0" w:space="0" w:color="auto"/>
        <w:right w:val="none" w:sz="0" w:space="0" w:color="auto"/>
      </w:divBdr>
      <w:divsChild>
        <w:div w:id="613564612">
          <w:marLeft w:val="0"/>
          <w:marRight w:val="0"/>
          <w:marTop w:val="0"/>
          <w:marBottom w:val="0"/>
          <w:divBdr>
            <w:top w:val="none" w:sz="0" w:space="0" w:color="auto"/>
            <w:left w:val="none" w:sz="0" w:space="0" w:color="auto"/>
            <w:bottom w:val="none" w:sz="0" w:space="0" w:color="auto"/>
            <w:right w:val="none" w:sz="0" w:space="0" w:color="auto"/>
          </w:divBdr>
          <w:divsChild>
            <w:div w:id="1035159211">
              <w:marLeft w:val="0"/>
              <w:marRight w:val="0"/>
              <w:marTop w:val="0"/>
              <w:marBottom w:val="0"/>
              <w:divBdr>
                <w:top w:val="none" w:sz="0" w:space="0" w:color="auto"/>
                <w:left w:val="none" w:sz="0" w:space="0" w:color="auto"/>
                <w:bottom w:val="none" w:sz="0" w:space="0" w:color="auto"/>
                <w:right w:val="none" w:sz="0" w:space="0" w:color="auto"/>
              </w:divBdr>
              <w:divsChild>
                <w:div w:id="650133743">
                  <w:marLeft w:val="0"/>
                  <w:marRight w:val="0"/>
                  <w:marTop w:val="0"/>
                  <w:marBottom w:val="0"/>
                  <w:divBdr>
                    <w:top w:val="none" w:sz="0" w:space="0" w:color="auto"/>
                    <w:left w:val="none" w:sz="0" w:space="0" w:color="auto"/>
                    <w:bottom w:val="none" w:sz="0" w:space="0" w:color="auto"/>
                    <w:right w:val="none" w:sz="0" w:space="0" w:color="auto"/>
                  </w:divBdr>
                  <w:divsChild>
                    <w:div w:id="626664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1386125">
      <w:bodyDiv w:val="1"/>
      <w:marLeft w:val="0"/>
      <w:marRight w:val="0"/>
      <w:marTop w:val="0"/>
      <w:marBottom w:val="0"/>
      <w:divBdr>
        <w:top w:val="none" w:sz="0" w:space="0" w:color="auto"/>
        <w:left w:val="none" w:sz="0" w:space="0" w:color="auto"/>
        <w:bottom w:val="none" w:sz="0" w:space="0" w:color="auto"/>
        <w:right w:val="none" w:sz="0" w:space="0" w:color="auto"/>
      </w:divBdr>
    </w:div>
    <w:div w:id="777720650">
      <w:bodyDiv w:val="1"/>
      <w:marLeft w:val="0"/>
      <w:marRight w:val="0"/>
      <w:marTop w:val="0"/>
      <w:marBottom w:val="0"/>
      <w:divBdr>
        <w:top w:val="none" w:sz="0" w:space="0" w:color="auto"/>
        <w:left w:val="none" w:sz="0" w:space="0" w:color="auto"/>
        <w:bottom w:val="none" w:sz="0" w:space="0" w:color="auto"/>
        <w:right w:val="none" w:sz="0" w:space="0" w:color="auto"/>
      </w:divBdr>
    </w:div>
    <w:div w:id="800349159">
      <w:bodyDiv w:val="1"/>
      <w:marLeft w:val="0"/>
      <w:marRight w:val="0"/>
      <w:marTop w:val="0"/>
      <w:marBottom w:val="0"/>
      <w:divBdr>
        <w:top w:val="none" w:sz="0" w:space="0" w:color="auto"/>
        <w:left w:val="none" w:sz="0" w:space="0" w:color="auto"/>
        <w:bottom w:val="none" w:sz="0" w:space="0" w:color="auto"/>
        <w:right w:val="none" w:sz="0" w:space="0" w:color="auto"/>
      </w:divBdr>
    </w:div>
    <w:div w:id="804811489">
      <w:bodyDiv w:val="1"/>
      <w:marLeft w:val="0"/>
      <w:marRight w:val="0"/>
      <w:marTop w:val="0"/>
      <w:marBottom w:val="0"/>
      <w:divBdr>
        <w:top w:val="none" w:sz="0" w:space="0" w:color="auto"/>
        <w:left w:val="none" w:sz="0" w:space="0" w:color="auto"/>
        <w:bottom w:val="none" w:sz="0" w:space="0" w:color="auto"/>
        <w:right w:val="none" w:sz="0" w:space="0" w:color="auto"/>
      </w:divBdr>
    </w:div>
    <w:div w:id="807824253">
      <w:bodyDiv w:val="1"/>
      <w:marLeft w:val="0"/>
      <w:marRight w:val="0"/>
      <w:marTop w:val="0"/>
      <w:marBottom w:val="0"/>
      <w:divBdr>
        <w:top w:val="none" w:sz="0" w:space="0" w:color="auto"/>
        <w:left w:val="none" w:sz="0" w:space="0" w:color="auto"/>
        <w:bottom w:val="none" w:sz="0" w:space="0" w:color="auto"/>
        <w:right w:val="none" w:sz="0" w:space="0" w:color="auto"/>
      </w:divBdr>
      <w:divsChild>
        <w:div w:id="1887640419">
          <w:marLeft w:val="0"/>
          <w:marRight w:val="0"/>
          <w:marTop w:val="0"/>
          <w:marBottom w:val="0"/>
          <w:divBdr>
            <w:top w:val="none" w:sz="0" w:space="0" w:color="auto"/>
            <w:left w:val="none" w:sz="0" w:space="0" w:color="auto"/>
            <w:bottom w:val="none" w:sz="0" w:space="0" w:color="auto"/>
            <w:right w:val="none" w:sz="0" w:space="0" w:color="auto"/>
          </w:divBdr>
        </w:div>
      </w:divsChild>
    </w:div>
    <w:div w:id="866522428">
      <w:bodyDiv w:val="1"/>
      <w:marLeft w:val="0"/>
      <w:marRight w:val="0"/>
      <w:marTop w:val="0"/>
      <w:marBottom w:val="0"/>
      <w:divBdr>
        <w:top w:val="none" w:sz="0" w:space="0" w:color="auto"/>
        <w:left w:val="none" w:sz="0" w:space="0" w:color="auto"/>
        <w:bottom w:val="none" w:sz="0" w:space="0" w:color="auto"/>
        <w:right w:val="none" w:sz="0" w:space="0" w:color="auto"/>
      </w:divBdr>
    </w:div>
    <w:div w:id="893203687">
      <w:bodyDiv w:val="1"/>
      <w:marLeft w:val="0"/>
      <w:marRight w:val="0"/>
      <w:marTop w:val="0"/>
      <w:marBottom w:val="0"/>
      <w:divBdr>
        <w:top w:val="none" w:sz="0" w:space="0" w:color="auto"/>
        <w:left w:val="none" w:sz="0" w:space="0" w:color="auto"/>
        <w:bottom w:val="none" w:sz="0" w:space="0" w:color="auto"/>
        <w:right w:val="none" w:sz="0" w:space="0" w:color="auto"/>
      </w:divBdr>
      <w:divsChild>
        <w:div w:id="1540244966">
          <w:marLeft w:val="0"/>
          <w:marRight w:val="0"/>
          <w:marTop w:val="0"/>
          <w:marBottom w:val="0"/>
          <w:divBdr>
            <w:top w:val="none" w:sz="0" w:space="0" w:color="auto"/>
            <w:left w:val="none" w:sz="0" w:space="0" w:color="auto"/>
            <w:bottom w:val="none" w:sz="0" w:space="0" w:color="auto"/>
            <w:right w:val="none" w:sz="0" w:space="0" w:color="auto"/>
          </w:divBdr>
          <w:divsChild>
            <w:div w:id="2105682949">
              <w:marLeft w:val="0"/>
              <w:marRight w:val="0"/>
              <w:marTop w:val="0"/>
              <w:marBottom w:val="0"/>
              <w:divBdr>
                <w:top w:val="none" w:sz="0" w:space="0" w:color="auto"/>
                <w:left w:val="none" w:sz="0" w:space="0" w:color="auto"/>
                <w:bottom w:val="none" w:sz="0" w:space="0" w:color="auto"/>
                <w:right w:val="none" w:sz="0" w:space="0" w:color="auto"/>
              </w:divBdr>
              <w:divsChild>
                <w:div w:id="1286808091">
                  <w:marLeft w:val="0"/>
                  <w:marRight w:val="0"/>
                  <w:marTop w:val="0"/>
                  <w:marBottom w:val="0"/>
                  <w:divBdr>
                    <w:top w:val="none" w:sz="0" w:space="0" w:color="auto"/>
                    <w:left w:val="none" w:sz="0" w:space="0" w:color="auto"/>
                    <w:bottom w:val="none" w:sz="0" w:space="0" w:color="auto"/>
                    <w:right w:val="none" w:sz="0" w:space="0" w:color="auto"/>
                  </w:divBdr>
                  <w:divsChild>
                    <w:div w:id="1324821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2057332">
      <w:bodyDiv w:val="1"/>
      <w:marLeft w:val="0"/>
      <w:marRight w:val="0"/>
      <w:marTop w:val="0"/>
      <w:marBottom w:val="0"/>
      <w:divBdr>
        <w:top w:val="none" w:sz="0" w:space="0" w:color="auto"/>
        <w:left w:val="none" w:sz="0" w:space="0" w:color="auto"/>
        <w:bottom w:val="none" w:sz="0" w:space="0" w:color="auto"/>
        <w:right w:val="none" w:sz="0" w:space="0" w:color="auto"/>
      </w:divBdr>
    </w:div>
    <w:div w:id="965548246">
      <w:bodyDiv w:val="1"/>
      <w:marLeft w:val="0"/>
      <w:marRight w:val="0"/>
      <w:marTop w:val="0"/>
      <w:marBottom w:val="0"/>
      <w:divBdr>
        <w:top w:val="none" w:sz="0" w:space="0" w:color="auto"/>
        <w:left w:val="none" w:sz="0" w:space="0" w:color="auto"/>
        <w:bottom w:val="none" w:sz="0" w:space="0" w:color="auto"/>
        <w:right w:val="none" w:sz="0" w:space="0" w:color="auto"/>
      </w:divBdr>
    </w:div>
    <w:div w:id="1023703044">
      <w:bodyDiv w:val="1"/>
      <w:marLeft w:val="0"/>
      <w:marRight w:val="0"/>
      <w:marTop w:val="0"/>
      <w:marBottom w:val="0"/>
      <w:divBdr>
        <w:top w:val="none" w:sz="0" w:space="0" w:color="auto"/>
        <w:left w:val="none" w:sz="0" w:space="0" w:color="auto"/>
        <w:bottom w:val="none" w:sz="0" w:space="0" w:color="auto"/>
        <w:right w:val="none" w:sz="0" w:space="0" w:color="auto"/>
      </w:divBdr>
    </w:div>
    <w:div w:id="1045640525">
      <w:bodyDiv w:val="1"/>
      <w:marLeft w:val="0"/>
      <w:marRight w:val="0"/>
      <w:marTop w:val="0"/>
      <w:marBottom w:val="0"/>
      <w:divBdr>
        <w:top w:val="none" w:sz="0" w:space="0" w:color="auto"/>
        <w:left w:val="none" w:sz="0" w:space="0" w:color="auto"/>
        <w:bottom w:val="none" w:sz="0" w:space="0" w:color="auto"/>
        <w:right w:val="none" w:sz="0" w:space="0" w:color="auto"/>
      </w:divBdr>
      <w:divsChild>
        <w:div w:id="1829859213">
          <w:marLeft w:val="0"/>
          <w:marRight w:val="0"/>
          <w:marTop w:val="0"/>
          <w:marBottom w:val="0"/>
          <w:divBdr>
            <w:top w:val="none" w:sz="0" w:space="0" w:color="auto"/>
            <w:left w:val="none" w:sz="0" w:space="0" w:color="auto"/>
            <w:bottom w:val="none" w:sz="0" w:space="0" w:color="auto"/>
            <w:right w:val="none" w:sz="0" w:space="0" w:color="auto"/>
          </w:divBdr>
        </w:div>
      </w:divsChild>
    </w:div>
    <w:div w:id="1087656417">
      <w:bodyDiv w:val="1"/>
      <w:marLeft w:val="0"/>
      <w:marRight w:val="0"/>
      <w:marTop w:val="0"/>
      <w:marBottom w:val="0"/>
      <w:divBdr>
        <w:top w:val="none" w:sz="0" w:space="0" w:color="auto"/>
        <w:left w:val="none" w:sz="0" w:space="0" w:color="auto"/>
        <w:bottom w:val="none" w:sz="0" w:space="0" w:color="auto"/>
        <w:right w:val="none" w:sz="0" w:space="0" w:color="auto"/>
      </w:divBdr>
    </w:div>
    <w:div w:id="1122773248">
      <w:bodyDiv w:val="1"/>
      <w:marLeft w:val="0"/>
      <w:marRight w:val="0"/>
      <w:marTop w:val="0"/>
      <w:marBottom w:val="0"/>
      <w:divBdr>
        <w:top w:val="none" w:sz="0" w:space="0" w:color="auto"/>
        <w:left w:val="none" w:sz="0" w:space="0" w:color="auto"/>
        <w:bottom w:val="none" w:sz="0" w:space="0" w:color="auto"/>
        <w:right w:val="none" w:sz="0" w:space="0" w:color="auto"/>
      </w:divBdr>
    </w:div>
    <w:div w:id="1124079629">
      <w:bodyDiv w:val="1"/>
      <w:marLeft w:val="0"/>
      <w:marRight w:val="0"/>
      <w:marTop w:val="0"/>
      <w:marBottom w:val="0"/>
      <w:divBdr>
        <w:top w:val="none" w:sz="0" w:space="0" w:color="auto"/>
        <w:left w:val="none" w:sz="0" w:space="0" w:color="auto"/>
        <w:bottom w:val="none" w:sz="0" w:space="0" w:color="auto"/>
        <w:right w:val="none" w:sz="0" w:space="0" w:color="auto"/>
      </w:divBdr>
    </w:div>
    <w:div w:id="1134788213">
      <w:bodyDiv w:val="1"/>
      <w:marLeft w:val="0"/>
      <w:marRight w:val="0"/>
      <w:marTop w:val="0"/>
      <w:marBottom w:val="0"/>
      <w:divBdr>
        <w:top w:val="none" w:sz="0" w:space="0" w:color="auto"/>
        <w:left w:val="none" w:sz="0" w:space="0" w:color="auto"/>
        <w:bottom w:val="none" w:sz="0" w:space="0" w:color="auto"/>
        <w:right w:val="none" w:sz="0" w:space="0" w:color="auto"/>
      </w:divBdr>
    </w:div>
    <w:div w:id="1157570540">
      <w:bodyDiv w:val="1"/>
      <w:marLeft w:val="0"/>
      <w:marRight w:val="0"/>
      <w:marTop w:val="0"/>
      <w:marBottom w:val="0"/>
      <w:divBdr>
        <w:top w:val="none" w:sz="0" w:space="0" w:color="auto"/>
        <w:left w:val="none" w:sz="0" w:space="0" w:color="auto"/>
        <w:bottom w:val="none" w:sz="0" w:space="0" w:color="auto"/>
        <w:right w:val="none" w:sz="0" w:space="0" w:color="auto"/>
      </w:divBdr>
    </w:div>
    <w:div w:id="1174493585">
      <w:bodyDiv w:val="1"/>
      <w:marLeft w:val="0"/>
      <w:marRight w:val="0"/>
      <w:marTop w:val="0"/>
      <w:marBottom w:val="0"/>
      <w:divBdr>
        <w:top w:val="none" w:sz="0" w:space="0" w:color="auto"/>
        <w:left w:val="none" w:sz="0" w:space="0" w:color="auto"/>
        <w:bottom w:val="none" w:sz="0" w:space="0" w:color="auto"/>
        <w:right w:val="none" w:sz="0" w:space="0" w:color="auto"/>
      </w:divBdr>
    </w:div>
    <w:div w:id="1188907795">
      <w:bodyDiv w:val="1"/>
      <w:marLeft w:val="0"/>
      <w:marRight w:val="0"/>
      <w:marTop w:val="0"/>
      <w:marBottom w:val="0"/>
      <w:divBdr>
        <w:top w:val="none" w:sz="0" w:space="0" w:color="auto"/>
        <w:left w:val="none" w:sz="0" w:space="0" w:color="auto"/>
        <w:bottom w:val="none" w:sz="0" w:space="0" w:color="auto"/>
        <w:right w:val="none" w:sz="0" w:space="0" w:color="auto"/>
      </w:divBdr>
    </w:div>
    <w:div w:id="1216552493">
      <w:bodyDiv w:val="1"/>
      <w:marLeft w:val="0"/>
      <w:marRight w:val="0"/>
      <w:marTop w:val="0"/>
      <w:marBottom w:val="0"/>
      <w:divBdr>
        <w:top w:val="none" w:sz="0" w:space="0" w:color="auto"/>
        <w:left w:val="none" w:sz="0" w:space="0" w:color="auto"/>
        <w:bottom w:val="none" w:sz="0" w:space="0" w:color="auto"/>
        <w:right w:val="none" w:sz="0" w:space="0" w:color="auto"/>
      </w:divBdr>
      <w:divsChild>
        <w:div w:id="501355493">
          <w:marLeft w:val="0"/>
          <w:marRight w:val="0"/>
          <w:marTop w:val="0"/>
          <w:marBottom w:val="0"/>
          <w:divBdr>
            <w:top w:val="none" w:sz="0" w:space="0" w:color="auto"/>
            <w:left w:val="none" w:sz="0" w:space="0" w:color="auto"/>
            <w:bottom w:val="none" w:sz="0" w:space="0" w:color="auto"/>
            <w:right w:val="none" w:sz="0" w:space="0" w:color="auto"/>
          </w:divBdr>
          <w:divsChild>
            <w:div w:id="1739668148">
              <w:marLeft w:val="0"/>
              <w:marRight w:val="0"/>
              <w:marTop w:val="0"/>
              <w:marBottom w:val="0"/>
              <w:divBdr>
                <w:top w:val="none" w:sz="0" w:space="0" w:color="auto"/>
                <w:left w:val="none" w:sz="0" w:space="0" w:color="auto"/>
                <w:bottom w:val="none" w:sz="0" w:space="0" w:color="auto"/>
                <w:right w:val="none" w:sz="0" w:space="0" w:color="auto"/>
              </w:divBdr>
              <w:divsChild>
                <w:div w:id="1979529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359584">
      <w:bodyDiv w:val="1"/>
      <w:marLeft w:val="0"/>
      <w:marRight w:val="0"/>
      <w:marTop w:val="0"/>
      <w:marBottom w:val="0"/>
      <w:divBdr>
        <w:top w:val="none" w:sz="0" w:space="0" w:color="auto"/>
        <w:left w:val="none" w:sz="0" w:space="0" w:color="auto"/>
        <w:bottom w:val="none" w:sz="0" w:space="0" w:color="auto"/>
        <w:right w:val="none" w:sz="0" w:space="0" w:color="auto"/>
      </w:divBdr>
    </w:div>
    <w:div w:id="1251814940">
      <w:bodyDiv w:val="1"/>
      <w:marLeft w:val="0"/>
      <w:marRight w:val="0"/>
      <w:marTop w:val="0"/>
      <w:marBottom w:val="0"/>
      <w:divBdr>
        <w:top w:val="none" w:sz="0" w:space="0" w:color="auto"/>
        <w:left w:val="none" w:sz="0" w:space="0" w:color="auto"/>
        <w:bottom w:val="none" w:sz="0" w:space="0" w:color="auto"/>
        <w:right w:val="none" w:sz="0" w:space="0" w:color="auto"/>
      </w:divBdr>
    </w:div>
    <w:div w:id="1296448169">
      <w:bodyDiv w:val="1"/>
      <w:marLeft w:val="0"/>
      <w:marRight w:val="0"/>
      <w:marTop w:val="0"/>
      <w:marBottom w:val="0"/>
      <w:divBdr>
        <w:top w:val="none" w:sz="0" w:space="0" w:color="auto"/>
        <w:left w:val="none" w:sz="0" w:space="0" w:color="auto"/>
        <w:bottom w:val="none" w:sz="0" w:space="0" w:color="auto"/>
        <w:right w:val="none" w:sz="0" w:space="0" w:color="auto"/>
      </w:divBdr>
    </w:div>
    <w:div w:id="1311205430">
      <w:bodyDiv w:val="1"/>
      <w:marLeft w:val="0"/>
      <w:marRight w:val="0"/>
      <w:marTop w:val="0"/>
      <w:marBottom w:val="0"/>
      <w:divBdr>
        <w:top w:val="none" w:sz="0" w:space="0" w:color="auto"/>
        <w:left w:val="none" w:sz="0" w:space="0" w:color="auto"/>
        <w:bottom w:val="none" w:sz="0" w:space="0" w:color="auto"/>
        <w:right w:val="none" w:sz="0" w:space="0" w:color="auto"/>
      </w:divBdr>
      <w:divsChild>
        <w:div w:id="1449082803">
          <w:marLeft w:val="0"/>
          <w:marRight w:val="0"/>
          <w:marTop w:val="0"/>
          <w:marBottom w:val="0"/>
          <w:divBdr>
            <w:top w:val="none" w:sz="0" w:space="0" w:color="auto"/>
            <w:left w:val="none" w:sz="0" w:space="0" w:color="auto"/>
            <w:bottom w:val="none" w:sz="0" w:space="0" w:color="auto"/>
            <w:right w:val="none" w:sz="0" w:space="0" w:color="auto"/>
          </w:divBdr>
          <w:divsChild>
            <w:div w:id="1191066427">
              <w:marLeft w:val="0"/>
              <w:marRight w:val="0"/>
              <w:marTop w:val="0"/>
              <w:marBottom w:val="0"/>
              <w:divBdr>
                <w:top w:val="none" w:sz="0" w:space="0" w:color="auto"/>
                <w:left w:val="none" w:sz="0" w:space="0" w:color="auto"/>
                <w:bottom w:val="none" w:sz="0" w:space="0" w:color="auto"/>
                <w:right w:val="none" w:sz="0" w:space="0" w:color="auto"/>
              </w:divBdr>
              <w:divsChild>
                <w:div w:id="2043238037">
                  <w:marLeft w:val="0"/>
                  <w:marRight w:val="0"/>
                  <w:marTop w:val="0"/>
                  <w:marBottom w:val="0"/>
                  <w:divBdr>
                    <w:top w:val="none" w:sz="0" w:space="0" w:color="auto"/>
                    <w:left w:val="none" w:sz="0" w:space="0" w:color="auto"/>
                    <w:bottom w:val="none" w:sz="0" w:space="0" w:color="auto"/>
                    <w:right w:val="none" w:sz="0" w:space="0" w:color="auto"/>
                  </w:divBdr>
                  <w:divsChild>
                    <w:div w:id="1867526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144604">
      <w:bodyDiv w:val="1"/>
      <w:marLeft w:val="0"/>
      <w:marRight w:val="0"/>
      <w:marTop w:val="0"/>
      <w:marBottom w:val="0"/>
      <w:divBdr>
        <w:top w:val="none" w:sz="0" w:space="0" w:color="auto"/>
        <w:left w:val="none" w:sz="0" w:space="0" w:color="auto"/>
        <w:bottom w:val="none" w:sz="0" w:space="0" w:color="auto"/>
        <w:right w:val="none" w:sz="0" w:space="0" w:color="auto"/>
      </w:divBdr>
      <w:divsChild>
        <w:div w:id="900941729">
          <w:marLeft w:val="0"/>
          <w:marRight w:val="0"/>
          <w:marTop w:val="0"/>
          <w:marBottom w:val="0"/>
          <w:divBdr>
            <w:top w:val="none" w:sz="0" w:space="0" w:color="auto"/>
            <w:left w:val="none" w:sz="0" w:space="0" w:color="auto"/>
            <w:bottom w:val="none" w:sz="0" w:space="0" w:color="auto"/>
            <w:right w:val="none" w:sz="0" w:space="0" w:color="auto"/>
          </w:divBdr>
          <w:divsChild>
            <w:div w:id="671683684">
              <w:marLeft w:val="0"/>
              <w:marRight w:val="0"/>
              <w:marTop w:val="0"/>
              <w:marBottom w:val="0"/>
              <w:divBdr>
                <w:top w:val="none" w:sz="0" w:space="0" w:color="auto"/>
                <w:left w:val="none" w:sz="0" w:space="0" w:color="auto"/>
                <w:bottom w:val="none" w:sz="0" w:space="0" w:color="auto"/>
                <w:right w:val="none" w:sz="0" w:space="0" w:color="auto"/>
              </w:divBdr>
              <w:divsChild>
                <w:div w:id="164325121">
                  <w:marLeft w:val="0"/>
                  <w:marRight w:val="0"/>
                  <w:marTop w:val="0"/>
                  <w:marBottom w:val="0"/>
                  <w:divBdr>
                    <w:top w:val="none" w:sz="0" w:space="0" w:color="auto"/>
                    <w:left w:val="none" w:sz="0" w:space="0" w:color="auto"/>
                    <w:bottom w:val="none" w:sz="0" w:space="0" w:color="auto"/>
                    <w:right w:val="none" w:sz="0" w:space="0" w:color="auto"/>
                  </w:divBdr>
                </w:div>
              </w:divsChild>
            </w:div>
            <w:div w:id="1552570602">
              <w:marLeft w:val="0"/>
              <w:marRight w:val="0"/>
              <w:marTop w:val="0"/>
              <w:marBottom w:val="0"/>
              <w:divBdr>
                <w:top w:val="none" w:sz="0" w:space="0" w:color="auto"/>
                <w:left w:val="none" w:sz="0" w:space="0" w:color="auto"/>
                <w:bottom w:val="none" w:sz="0" w:space="0" w:color="auto"/>
                <w:right w:val="none" w:sz="0" w:space="0" w:color="auto"/>
              </w:divBdr>
              <w:divsChild>
                <w:div w:id="1449816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17138">
          <w:marLeft w:val="0"/>
          <w:marRight w:val="0"/>
          <w:marTop w:val="0"/>
          <w:marBottom w:val="0"/>
          <w:divBdr>
            <w:top w:val="none" w:sz="0" w:space="0" w:color="auto"/>
            <w:left w:val="none" w:sz="0" w:space="0" w:color="auto"/>
            <w:bottom w:val="none" w:sz="0" w:space="0" w:color="auto"/>
            <w:right w:val="none" w:sz="0" w:space="0" w:color="auto"/>
          </w:divBdr>
          <w:divsChild>
            <w:div w:id="1539733909">
              <w:marLeft w:val="0"/>
              <w:marRight w:val="0"/>
              <w:marTop w:val="0"/>
              <w:marBottom w:val="0"/>
              <w:divBdr>
                <w:top w:val="none" w:sz="0" w:space="0" w:color="auto"/>
                <w:left w:val="none" w:sz="0" w:space="0" w:color="auto"/>
                <w:bottom w:val="none" w:sz="0" w:space="0" w:color="auto"/>
                <w:right w:val="none" w:sz="0" w:space="0" w:color="auto"/>
              </w:divBdr>
              <w:divsChild>
                <w:div w:id="134420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0795025">
      <w:bodyDiv w:val="1"/>
      <w:marLeft w:val="0"/>
      <w:marRight w:val="0"/>
      <w:marTop w:val="0"/>
      <w:marBottom w:val="0"/>
      <w:divBdr>
        <w:top w:val="none" w:sz="0" w:space="0" w:color="auto"/>
        <w:left w:val="none" w:sz="0" w:space="0" w:color="auto"/>
        <w:bottom w:val="none" w:sz="0" w:space="0" w:color="auto"/>
        <w:right w:val="none" w:sz="0" w:space="0" w:color="auto"/>
      </w:divBdr>
    </w:div>
    <w:div w:id="1536118802">
      <w:bodyDiv w:val="1"/>
      <w:marLeft w:val="0"/>
      <w:marRight w:val="0"/>
      <w:marTop w:val="0"/>
      <w:marBottom w:val="0"/>
      <w:divBdr>
        <w:top w:val="none" w:sz="0" w:space="0" w:color="auto"/>
        <w:left w:val="none" w:sz="0" w:space="0" w:color="auto"/>
        <w:bottom w:val="none" w:sz="0" w:space="0" w:color="auto"/>
        <w:right w:val="none" w:sz="0" w:space="0" w:color="auto"/>
      </w:divBdr>
      <w:divsChild>
        <w:div w:id="1991664648">
          <w:marLeft w:val="0"/>
          <w:marRight w:val="0"/>
          <w:marTop w:val="0"/>
          <w:marBottom w:val="0"/>
          <w:divBdr>
            <w:top w:val="none" w:sz="0" w:space="0" w:color="auto"/>
            <w:left w:val="none" w:sz="0" w:space="0" w:color="auto"/>
            <w:bottom w:val="none" w:sz="0" w:space="0" w:color="auto"/>
            <w:right w:val="none" w:sz="0" w:space="0" w:color="auto"/>
          </w:divBdr>
          <w:divsChild>
            <w:div w:id="516695860">
              <w:marLeft w:val="0"/>
              <w:marRight w:val="0"/>
              <w:marTop w:val="0"/>
              <w:marBottom w:val="0"/>
              <w:divBdr>
                <w:top w:val="none" w:sz="0" w:space="0" w:color="auto"/>
                <w:left w:val="none" w:sz="0" w:space="0" w:color="auto"/>
                <w:bottom w:val="none" w:sz="0" w:space="0" w:color="auto"/>
                <w:right w:val="none" w:sz="0" w:space="0" w:color="auto"/>
              </w:divBdr>
              <w:divsChild>
                <w:div w:id="1022784347">
                  <w:marLeft w:val="0"/>
                  <w:marRight w:val="0"/>
                  <w:marTop w:val="0"/>
                  <w:marBottom w:val="0"/>
                  <w:divBdr>
                    <w:top w:val="none" w:sz="0" w:space="0" w:color="auto"/>
                    <w:left w:val="none" w:sz="0" w:space="0" w:color="auto"/>
                    <w:bottom w:val="none" w:sz="0" w:space="0" w:color="auto"/>
                    <w:right w:val="none" w:sz="0" w:space="0" w:color="auto"/>
                  </w:divBdr>
                  <w:divsChild>
                    <w:div w:id="1129663902">
                      <w:marLeft w:val="0"/>
                      <w:marRight w:val="0"/>
                      <w:marTop w:val="0"/>
                      <w:marBottom w:val="0"/>
                      <w:divBdr>
                        <w:top w:val="none" w:sz="0" w:space="0" w:color="auto"/>
                        <w:left w:val="none" w:sz="0" w:space="0" w:color="auto"/>
                        <w:bottom w:val="none" w:sz="0" w:space="0" w:color="auto"/>
                        <w:right w:val="none" w:sz="0" w:space="0" w:color="auto"/>
                      </w:divBdr>
                      <w:divsChild>
                        <w:div w:id="76024117">
                          <w:marLeft w:val="0"/>
                          <w:marRight w:val="0"/>
                          <w:marTop w:val="0"/>
                          <w:marBottom w:val="0"/>
                          <w:divBdr>
                            <w:top w:val="none" w:sz="0" w:space="0" w:color="auto"/>
                            <w:left w:val="none" w:sz="0" w:space="0" w:color="auto"/>
                            <w:bottom w:val="none" w:sz="0" w:space="0" w:color="auto"/>
                            <w:right w:val="none" w:sz="0" w:space="0" w:color="auto"/>
                          </w:divBdr>
                          <w:divsChild>
                            <w:div w:id="1020396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3679407">
          <w:marLeft w:val="0"/>
          <w:marRight w:val="0"/>
          <w:marTop w:val="0"/>
          <w:marBottom w:val="0"/>
          <w:divBdr>
            <w:top w:val="single" w:sz="6" w:space="0" w:color="EBEBEB"/>
            <w:left w:val="none" w:sz="0" w:space="0" w:color="auto"/>
            <w:bottom w:val="none" w:sz="0" w:space="0" w:color="auto"/>
            <w:right w:val="none" w:sz="0" w:space="0" w:color="auto"/>
          </w:divBdr>
          <w:divsChild>
            <w:div w:id="686979559">
              <w:marLeft w:val="0"/>
              <w:marRight w:val="0"/>
              <w:marTop w:val="0"/>
              <w:marBottom w:val="0"/>
              <w:divBdr>
                <w:top w:val="none" w:sz="0" w:space="0" w:color="auto"/>
                <w:left w:val="none" w:sz="0" w:space="0" w:color="auto"/>
                <w:bottom w:val="none" w:sz="0" w:space="0" w:color="auto"/>
                <w:right w:val="none" w:sz="0" w:space="0" w:color="auto"/>
              </w:divBdr>
              <w:divsChild>
                <w:div w:id="811407636">
                  <w:marLeft w:val="0"/>
                  <w:marRight w:val="0"/>
                  <w:marTop w:val="0"/>
                  <w:marBottom w:val="0"/>
                  <w:divBdr>
                    <w:top w:val="none" w:sz="0" w:space="0" w:color="auto"/>
                    <w:left w:val="none" w:sz="0" w:space="0" w:color="auto"/>
                    <w:bottom w:val="none" w:sz="0" w:space="0" w:color="auto"/>
                    <w:right w:val="none" w:sz="0" w:space="0" w:color="auto"/>
                  </w:divBdr>
                  <w:divsChild>
                    <w:div w:id="287664553">
                      <w:marLeft w:val="0"/>
                      <w:marRight w:val="0"/>
                      <w:marTop w:val="195"/>
                      <w:marBottom w:val="195"/>
                      <w:divBdr>
                        <w:top w:val="none" w:sz="0" w:space="0" w:color="auto"/>
                        <w:left w:val="none" w:sz="0" w:space="0" w:color="auto"/>
                        <w:bottom w:val="none" w:sz="0" w:space="0" w:color="auto"/>
                        <w:right w:val="none" w:sz="0" w:space="0" w:color="auto"/>
                      </w:divBdr>
                      <w:divsChild>
                        <w:div w:id="909080184">
                          <w:marLeft w:val="0"/>
                          <w:marRight w:val="0"/>
                          <w:marTop w:val="0"/>
                          <w:marBottom w:val="0"/>
                          <w:divBdr>
                            <w:top w:val="none" w:sz="0" w:space="0" w:color="auto"/>
                            <w:left w:val="none" w:sz="0" w:space="0" w:color="auto"/>
                            <w:bottom w:val="none" w:sz="0" w:space="0" w:color="auto"/>
                            <w:right w:val="none" w:sz="0" w:space="0" w:color="auto"/>
                          </w:divBdr>
                          <w:divsChild>
                            <w:div w:id="49757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49824612">
      <w:bodyDiv w:val="1"/>
      <w:marLeft w:val="0"/>
      <w:marRight w:val="0"/>
      <w:marTop w:val="0"/>
      <w:marBottom w:val="0"/>
      <w:divBdr>
        <w:top w:val="none" w:sz="0" w:space="0" w:color="auto"/>
        <w:left w:val="none" w:sz="0" w:space="0" w:color="auto"/>
        <w:bottom w:val="none" w:sz="0" w:space="0" w:color="auto"/>
        <w:right w:val="none" w:sz="0" w:space="0" w:color="auto"/>
      </w:divBdr>
    </w:div>
    <w:div w:id="1686664019">
      <w:bodyDiv w:val="1"/>
      <w:marLeft w:val="0"/>
      <w:marRight w:val="0"/>
      <w:marTop w:val="0"/>
      <w:marBottom w:val="0"/>
      <w:divBdr>
        <w:top w:val="none" w:sz="0" w:space="0" w:color="auto"/>
        <w:left w:val="none" w:sz="0" w:space="0" w:color="auto"/>
        <w:bottom w:val="none" w:sz="0" w:space="0" w:color="auto"/>
        <w:right w:val="none" w:sz="0" w:space="0" w:color="auto"/>
      </w:divBdr>
    </w:div>
    <w:div w:id="1686666872">
      <w:bodyDiv w:val="1"/>
      <w:marLeft w:val="0"/>
      <w:marRight w:val="0"/>
      <w:marTop w:val="0"/>
      <w:marBottom w:val="0"/>
      <w:divBdr>
        <w:top w:val="none" w:sz="0" w:space="0" w:color="auto"/>
        <w:left w:val="none" w:sz="0" w:space="0" w:color="auto"/>
        <w:bottom w:val="none" w:sz="0" w:space="0" w:color="auto"/>
        <w:right w:val="none" w:sz="0" w:space="0" w:color="auto"/>
      </w:divBdr>
    </w:div>
    <w:div w:id="1709450478">
      <w:bodyDiv w:val="1"/>
      <w:marLeft w:val="0"/>
      <w:marRight w:val="0"/>
      <w:marTop w:val="0"/>
      <w:marBottom w:val="0"/>
      <w:divBdr>
        <w:top w:val="none" w:sz="0" w:space="0" w:color="auto"/>
        <w:left w:val="none" w:sz="0" w:space="0" w:color="auto"/>
        <w:bottom w:val="none" w:sz="0" w:space="0" w:color="auto"/>
        <w:right w:val="none" w:sz="0" w:space="0" w:color="auto"/>
      </w:divBdr>
    </w:div>
    <w:div w:id="1759869370">
      <w:bodyDiv w:val="1"/>
      <w:marLeft w:val="0"/>
      <w:marRight w:val="0"/>
      <w:marTop w:val="0"/>
      <w:marBottom w:val="0"/>
      <w:divBdr>
        <w:top w:val="none" w:sz="0" w:space="0" w:color="auto"/>
        <w:left w:val="none" w:sz="0" w:space="0" w:color="auto"/>
        <w:bottom w:val="none" w:sz="0" w:space="0" w:color="auto"/>
        <w:right w:val="none" w:sz="0" w:space="0" w:color="auto"/>
      </w:divBdr>
    </w:div>
    <w:div w:id="1991059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vid\Documents\Custom%20Office%20Templates\JDF.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628ECC-6B07-A240-9C02-BA2DDF96A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C:\Users\David\Documents\Custom Office Templates\JDF.dotx</Template>
  <TotalTime>62</TotalTime>
  <Pages>7</Pages>
  <Words>651</Words>
  <Characters>3714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dc:creator>
  <cp:keywords/>
  <dc:description/>
  <cp:lastModifiedBy>Qiu, Yingjie</cp:lastModifiedBy>
  <cp:revision>6</cp:revision>
  <cp:lastPrinted>2022-09-01T07:26:00Z</cp:lastPrinted>
  <dcterms:created xsi:type="dcterms:W3CDTF">2022-10-19T03:13:00Z</dcterms:created>
  <dcterms:modified xsi:type="dcterms:W3CDTF">2022-10-19T20:51:00Z</dcterms:modified>
</cp:coreProperties>
</file>